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3C02F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bookmarkStart w:id="0" w:name="_GoBack"/>
      <w:bookmarkEnd w:id="0"/>
    </w:p>
    <w:p w14:paraId="58A08FA2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22B31B69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4C2F51A7" w14:textId="77777777" w:rsidR="00A944A3" w:rsidRPr="00DF6C9E" w:rsidRDefault="00DC3FF9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Target Mark</w:t>
      </w:r>
      <w:r w:rsidRPr="004D6C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et Segment</w:t>
      </w:r>
    </w:p>
    <w:p w14:paraId="4E5C4A96" w14:textId="36C8D925" w:rsidR="00A944A3" w:rsidRPr="00DF6C9E" w:rsidRDefault="00B54C17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Kevin Moses</w:t>
      </w:r>
    </w:p>
    <w:p w14:paraId="45A62AF1" w14:textId="510172BC" w:rsidR="00A944A3" w:rsidRPr="00DF6C9E" w:rsidRDefault="00B54C17" w:rsidP="00B54C17">
      <w:pPr>
        <w:shd w:val="clear" w:color="auto" w:fill="FFFFFF"/>
        <w:spacing w:before="300" w:after="150" w:line="48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                                                               Mr.William Creamer</w:t>
      </w:r>
    </w:p>
    <w:p w14:paraId="12CA4036" w14:textId="4C48DC6F" w:rsidR="00A944A3" w:rsidRDefault="00B54C17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BUS 313</w:t>
      </w:r>
    </w:p>
    <w:p w14:paraId="28E2D0DB" w14:textId="20732166" w:rsidR="00B54C17" w:rsidRPr="00DF6C9E" w:rsidRDefault="00B54C17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8/12/18</w:t>
      </w:r>
    </w:p>
    <w:p w14:paraId="740E173A" w14:textId="2989DCA8" w:rsidR="00A944A3" w:rsidRPr="00DF6C9E" w:rsidRDefault="00A944A3" w:rsidP="00B54C17">
      <w:pPr>
        <w:shd w:val="clear" w:color="auto" w:fill="FFFFFF"/>
        <w:spacing w:before="300" w:after="150" w:line="48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5B9E1470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5A82FD01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6E30F3EA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670A4F11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11883125" w14:textId="77777777" w:rsidR="00A944A3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34F84199" w14:textId="77777777" w:rsidR="006034C9" w:rsidRPr="00DF6C9E" w:rsidRDefault="006034C9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30D2167C" w14:textId="77777777" w:rsidR="00A944A3" w:rsidRPr="00DF6C9E" w:rsidRDefault="00A944A3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p w14:paraId="06B555D0" w14:textId="77777777" w:rsidR="008714E2" w:rsidRPr="00DF6C9E" w:rsidRDefault="00DC3FF9" w:rsidP="00DF6C9E">
      <w:pPr>
        <w:shd w:val="clear" w:color="auto" w:fill="FFFFFF"/>
        <w:spacing w:before="300" w:after="150" w:line="48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Target Mark</w:t>
      </w:r>
      <w:r w:rsidRPr="004D6C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et Segment</w:t>
      </w:r>
    </w:p>
    <w:p w14:paraId="75A9B9F7" w14:textId="77777777" w:rsidR="00E77D80" w:rsidRPr="00DF6C9E" w:rsidRDefault="00DC3FF9" w:rsidP="00DF6C9E">
      <w:pPr>
        <w:shd w:val="clear" w:color="auto" w:fill="FFFFFF"/>
        <w:spacing w:before="300" w:after="150" w:line="48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My Business is a Micro Funding Company with the aim of providing financial safety of individuals through savings and 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loan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provisions. </w:t>
      </w:r>
    </w:p>
    <w:p w14:paraId="47D061DD" w14:textId="193D6D63" w:rsidR="00BE72B9" w:rsidRPr="00DF6C9E" w:rsidRDefault="00DC3FF9" w:rsidP="00DF6C9E">
      <w:pPr>
        <w:shd w:val="clear" w:color="auto" w:fill="FFFFFF"/>
        <w:spacing w:before="300" w:after="150" w:line="48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The primary target market segment 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is one that will readily purchase 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our </w:t>
      </w:r>
      <w:r w:rsidR="006D3D8A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services </w:t>
      </w:r>
      <w:sdt>
        <w:sdtPr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n-GB"/>
          </w:rPr>
          <w:id w:val="-1467967674"/>
          <w:citation/>
        </w:sdtPr>
        <w:sdtEndPr/>
        <w:sdtContent>
          <w:r w:rsidR="006D3D8A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fldChar w:fldCharType="begin"/>
          </w:r>
          <w:r w:rsidR="006D3D8A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instrText xml:space="preserve"> CITATION Wed12 \l 2057 </w:instrText>
          </w:r>
          <w:r w:rsidR="006D3D8A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fldChar w:fldCharType="separate"/>
          </w:r>
          <w:r w:rsidR="006D3D8A" w:rsidRPr="00DF6C9E">
            <w:rPr>
              <w:rFonts w:ascii="Times New Roman" w:eastAsia="Times New Roman" w:hAnsi="Times New Roman" w:cs="Times New Roman"/>
              <w:noProof/>
              <w:kern w:val="36"/>
              <w:sz w:val="24"/>
              <w:szCs w:val="24"/>
              <w:lang w:eastAsia="en-GB"/>
            </w:rPr>
            <w:t>(Wedel &amp; Kamakura, 2012)</w:t>
          </w:r>
          <w:r w:rsidR="006D3D8A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fldChar w:fldCharType="end"/>
          </w:r>
        </w:sdtContent>
      </w:sdt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. It comprises of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individuals and small business owners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as they are attracted to the less stringent terms and conditions of borrowing in a 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Micro-funding company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.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My company will embark on g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iving extended periods for repayment and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smaller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interest rates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margins than banking institutions which 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will be appreciated by this target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group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. Secondly, this population 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is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characterized by sma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ll/few income streams. T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herefore,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the Micro-funding strategy for providing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small-scale saving programs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with lesser minimum deposits 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tha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n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ordinary banks will readily attract them. Thirdly, my business is a small-scale type of funding institution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; 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there may not be enough r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esources to fund large projects. T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herefore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, it</w:t>
      </w:r>
      <w:r w:rsidR="00E77D80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makes sense to target a population that may not require vast amounts of funds. </w:t>
      </w:r>
    </w:p>
    <w:p w14:paraId="16F0B2B4" w14:textId="475266CD" w:rsidR="00A944A3" w:rsidRPr="00DF6C9E" w:rsidRDefault="00DC3FF9" w:rsidP="00DF6C9E">
      <w:pPr>
        <w:shd w:val="clear" w:color="auto" w:fill="FFFFFF"/>
        <w:spacing w:before="300" w:after="150" w:line="48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The secondary target market segments are those customers that the business would like to target in the future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and often influenced by the primary target market segment</w:t>
      </w:r>
      <w:r w:rsidR="00B51AD3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n-GB"/>
          </w:rPr>
          <w:id w:val="-1964879825"/>
          <w:citation/>
        </w:sdtPr>
        <w:sdtEndPr/>
        <w:sdtContent>
          <w:r w:rsidR="00B51AD3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fldChar w:fldCharType="begin"/>
          </w:r>
          <w:r w:rsidR="00B51AD3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instrText xml:space="preserve"> CITATION Wed12 \l 2057 </w:instrText>
          </w:r>
          <w:r w:rsidR="00B51AD3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fldChar w:fldCharType="separate"/>
          </w:r>
          <w:r w:rsidR="00B51AD3" w:rsidRPr="00DF6C9E">
            <w:rPr>
              <w:rFonts w:ascii="Times New Roman" w:eastAsia="Times New Roman" w:hAnsi="Times New Roman" w:cs="Times New Roman"/>
              <w:noProof/>
              <w:kern w:val="36"/>
              <w:sz w:val="24"/>
              <w:szCs w:val="24"/>
              <w:lang w:eastAsia="en-GB"/>
            </w:rPr>
            <w:t>(Wedel &amp; Kamakura, 2012)</w:t>
          </w:r>
          <w:r w:rsidR="00B51AD3" w:rsidRPr="00DF6C9E">
            <w:rPr>
              <w:rFonts w:ascii="Times New Roman" w:eastAsia="Times New Roman" w:hAnsi="Times New Roman" w:cs="Times New Roman"/>
              <w:bCs/>
              <w:kern w:val="36"/>
              <w:sz w:val="24"/>
              <w:szCs w:val="24"/>
              <w:lang w:eastAsia="en-GB"/>
            </w:rPr>
            <w:fldChar w:fldCharType="end"/>
          </w:r>
        </w:sdtContent>
      </w:sdt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. For this business</w:t>
      </w:r>
      <w:r w:rsidR="00B51AD3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, t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he secondary target market segment consist of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medium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-sized businesses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and large-sized institutions. Firstly, my Micro-funding company is small 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but with high growth potential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, foregoing this clientele for the future gives room for growth to be able to meet their needs. Secondly,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the small-scale businesses the company will support will mushroom to become the mid-sized and large enterprises I hope to target in the future.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It therefore is necessary to focus on services to aid their growth while adjusting to the 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lastRenderedPageBreak/>
        <w:t>growth patterns of member businesses.</w:t>
      </w:r>
      <w:r w:rsidR="005211FF"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Lastly, medium and large-sized institutions 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are secondary buyers that may not readily purchase services</w:t>
      </w:r>
      <w:r w:rsidR="008334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 xml:space="preserve"> as they rely on referrals and business reputation of other companies</w:t>
      </w:r>
      <w:r w:rsidRPr="00DF6C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  <w:t>. Having them as secondary targets will also give room to establish resources and strategies to increase competitive power to attract and retain their loyalty in the long-run.</w:t>
      </w:r>
    </w:p>
    <w:p w14:paraId="654EFE98" w14:textId="77777777" w:rsidR="00E77D80" w:rsidRPr="00DF6C9E" w:rsidRDefault="00E77D80" w:rsidP="00DF6C9E">
      <w:pPr>
        <w:shd w:val="clear" w:color="auto" w:fill="FFFFFF"/>
        <w:spacing w:before="300" w:after="150" w:line="48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GB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id w:val="-304931185"/>
        <w:docPartObj>
          <w:docPartGallery w:val="Bibliographies"/>
          <w:docPartUnique/>
        </w:docPartObj>
      </w:sdtPr>
      <w:sdtEndPr/>
      <w:sdtContent>
        <w:p w14:paraId="2289F3A6" w14:textId="77777777" w:rsidR="00B51AD3" w:rsidRPr="00DF6C9E" w:rsidRDefault="00DC3FF9" w:rsidP="00DF6C9E">
          <w:pPr>
            <w:pStyle w:val="Heading1"/>
            <w:spacing w:line="480" w:lineRule="auto"/>
            <w:jc w:val="center"/>
            <w:rPr>
              <w:b w:val="0"/>
              <w:sz w:val="24"/>
              <w:szCs w:val="24"/>
            </w:rPr>
          </w:pPr>
          <w:r w:rsidRPr="00DF6C9E">
            <w:rPr>
              <w:b w:val="0"/>
              <w:sz w:val="24"/>
              <w:szCs w:val="24"/>
            </w:rPr>
            <w:t>Reference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/>
          <w:sdtContent>
            <w:p w14:paraId="2154E666" w14:textId="77777777" w:rsidR="00B51AD3" w:rsidRPr="00DF6C9E" w:rsidRDefault="00DC3FF9" w:rsidP="00DF6C9E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DF6C9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DF6C9E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DF6C9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DF6C9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Wedel, M., &amp; Kamakura, W. A. (2012). </w:t>
              </w:r>
              <w:r w:rsidRPr="00DF6C9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Market Segmentation: Conceptual and methodological foundations</w:t>
              </w:r>
              <w:r w:rsidRPr="00DF6C9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(Vol. 8). Springer.</w:t>
              </w:r>
            </w:p>
            <w:p w14:paraId="79CE50EF" w14:textId="77777777" w:rsidR="00B51AD3" w:rsidRPr="00DF6C9E" w:rsidRDefault="00DC3FF9" w:rsidP="00DF6C9E">
              <w:pPr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F6C9E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B03CA2C" w14:textId="77777777" w:rsidR="00C66F4D" w:rsidRPr="00DF6C9E" w:rsidRDefault="00C66F4D" w:rsidP="00DF6C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66F4D" w:rsidRPr="00DF6C9E" w:rsidSect="00A944A3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53C9D" w14:textId="77777777" w:rsidR="00132FB3" w:rsidRDefault="00132FB3">
      <w:pPr>
        <w:spacing w:after="0" w:line="240" w:lineRule="auto"/>
      </w:pPr>
      <w:r>
        <w:separator/>
      </w:r>
    </w:p>
  </w:endnote>
  <w:endnote w:type="continuationSeparator" w:id="0">
    <w:p w14:paraId="415AE099" w14:textId="77777777" w:rsidR="00132FB3" w:rsidRDefault="001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A32BA" w14:textId="77777777" w:rsidR="00132FB3" w:rsidRDefault="00132FB3">
      <w:pPr>
        <w:spacing w:after="0" w:line="240" w:lineRule="auto"/>
      </w:pPr>
      <w:r>
        <w:separator/>
      </w:r>
    </w:p>
  </w:footnote>
  <w:footnote w:type="continuationSeparator" w:id="0">
    <w:p w14:paraId="1A435161" w14:textId="77777777" w:rsidR="00132FB3" w:rsidRDefault="001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840816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2EE4C5" w14:textId="77777777" w:rsidR="00A944A3" w:rsidRPr="00A944A3" w:rsidRDefault="00DC3FF9" w:rsidP="00A944A3">
        <w:pPr>
          <w:shd w:val="clear" w:color="auto" w:fill="FFFFFF"/>
          <w:spacing w:before="300" w:after="150" w:line="645" w:lineRule="atLeast"/>
          <w:outlineLvl w:val="0"/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</w:pP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>TARGET MARKET SEGMENT</w:t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</w:r>
        <w:r w:rsidRPr="00A944A3">
          <w:rPr>
            <w:rFonts w:ascii="Times New Roman" w:eastAsia="Times New Roman" w:hAnsi="Times New Roman" w:cs="Times New Roman"/>
            <w:bCs/>
            <w:color w:val="333333"/>
            <w:kern w:val="36"/>
            <w:sz w:val="24"/>
            <w:szCs w:val="24"/>
            <w:lang w:eastAsia="en-GB"/>
          </w:rPr>
          <w:tab/>
          <w:t xml:space="preserve">    </w:t>
        </w:r>
        <w:r w:rsidRPr="00A9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44A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1CD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44A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40B2625" w14:textId="77777777" w:rsidR="00A944A3" w:rsidRDefault="00A94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C7AE3" w14:textId="77777777" w:rsidR="00A944A3" w:rsidRPr="00A944A3" w:rsidRDefault="00DC3FF9" w:rsidP="00A944A3">
    <w:pPr>
      <w:shd w:val="clear" w:color="auto" w:fill="FFFFFF"/>
      <w:spacing w:before="300" w:after="150" w:line="645" w:lineRule="atLeast"/>
      <w:outlineLvl w:val="0"/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</w:pPr>
    <w:r w:rsidRPr="00A944A3">
      <w:rPr>
        <w:rFonts w:ascii="Times New Roman" w:hAnsi="Times New Roman" w:cs="Times New Roman"/>
        <w:sz w:val="24"/>
        <w:szCs w:val="24"/>
      </w:rPr>
      <w:t>Running head:</w:t>
    </w:r>
    <w:r w:rsidRPr="00A944A3"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 xml:space="preserve"> TARGET MARK</w:t>
    </w:r>
    <w:r w:rsidRPr="004D6C60"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>ET SEGMENT</w:t>
    </w:r>
    <w:r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ab/>
    </w:r>
    <w:r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ab/>
    </w:r>
    <w:r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ab/>
    </w:r>
    <w:r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ab/>
    </w:r>
    <w:r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ab/>
    </w:r>
    <w:r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ab/>
      <w:t xml:space="preserve">    </w:t>
    </w:r>
    <w:r w:rsidRPr="00A944A3">
      <w:rPr>
        <w:rFonts w:ascii="Times New Roman" w:eastAsia="Times New Roman" w:hAnsi="Times New Roman" w:cs="Times New Roman"/>
        <w:bCs/>
        <w:color w:val="333333"/>
        <w:kern w:val="36"/>
        <w:sz w:val="24"/>
        <w:szCs w:val="24"/>
        <w:lang w:eastAsia="en-GB"/>
      </w:rPr>
      <w:t>1</w:t>
    </w:r>
  </w:p>
  <w:p w14:paraId="118308BF" w14:textId="77777777" w:rsidR="00A944A3" w:rsidRPr="00A944A3" w:rsidRDefault="00A944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F1213"/>
    <w:multiLevelType w:val="multilevel"/>
    <w:tmpl w:val="354C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91927"/>
    <w:multiLevelType w:val="multilevel"/>
    <w:tmpl w:val="2BC0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60"/>
    <w:rsid w:val="00132FB3"/>
    <w:rsid w:val="004D6C60"/>
    <w:rsid w:val="005211FF"/>
    <w:rsid w:val="005E09E4"/>
    <w:rsid w:val="006034C9"/>
    <w:rsid w:val="00631CD6"/>
    <w:rsid w:val="006D3D8A"/>
    <w:rsid w:val="00833411"/>
    <w:rsid w:val="0085149B"/>
    <w:rsid w:val="008714E2"/>
    <w:rsid w:val="008A2E0C"/>
    <w:rsid w:val="00A944A3"/>
    <w:rsid w:val="00B51AD3"/>
    <w:rsid w:val="00B54C17"/>
    <w:rsid w:val="00BE72B9"/>
    <w:rsid w:val="00C66F4D"/>
    <w:rsid w:val="00DC3FF9"/>
    <w:rsid w:val="00DD3754"/>
    <w:rsid w:val="00DF6C9E"/>
    <w:rsid w:val="00E30512"/>
    <w:rsid w:val="00E3689C"/>
    <w:rsid w:val="00E77D80"/>
    <w:rsid w:val="00EC4CCC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8E31-3061-4E4B-A2AA-158D70EF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6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D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A3"/>
  </w:style>
  <w:style w:type="paragraph" w:styleId="Footer">
    <w:name w:val="footer"/>
    <w:basedOn w:val="Normal"/>
    <w:link w:val="FooterChar"/>
    <w:uiPriority w:val="99"/>
    <w:unhideWhenUsed/>
    <w:rsid w:val="00A9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A3"/>
  </w:style>
  <w:style w:type="paragraph" w:styleId="Bibliography">
    <w:name w:val="Bibliography"/>
    <w:basedOn w:val="Normal"/>
    <w:next w:val="Normal"/>
    <w:uiPriority w:val="37"/>
    <w:unhideWhenUsed/>
    <w:rsid w:val="00B51AD3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Wed12</b:Tag>
    <b:SourceType>Book</b:SourceType>
    <b:Guid>{EDDA3774-60D4-4699-B142-D2A9CF0FE83C}</b:Guid>
    <b:Title>Market segmentation: Conceptual and methodological foundations</b:Title>
    <b:Year>2012</b:Year>
    <b:Publisher>Springer</b:Publisher>
    <b:Author>
      <b:Author>
        <b:NameList>
          <b:Person>
            <b:Last>Wedel</b:Last>
            <b:First>M</b:First>
          </b:Person>
          <b:Person>
            <b:Last>Kamakura</b:Last>
            <b:Middle>A</b:Middle>
            <b:First>W</b:First>
          </b:Person>
        </b:NameList>
      </b:Author>
    </b:Author>
    <b:Volume>8</b:Volume>
    <b:ShortTitle>Springer Science &amp; Business Media</b:ShortTitle>
    <b:RefOrder>1</b:RefOrder>
  </b:Source>
</b:Sources>
</file>

<file path=customXml/itemProps1.xml><?xml version="1.0" encoding="utf-8"?>
<ds:datastoreItem xmlns:ds="http://schemas.openxmlformats.org/officeDocument/2006/customXml" ds:itemID="{388742D2-09C3-4D29-8AF5-945BE58B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haugh khym</cp:lastModifiedBy>
  <cp:revision>2</cp:revision>
  <dcterms:created xsi:type="dcterms:W3CDTF">2018-11-17T10:04:00Z</dcterms:created>
  <dcterms:modified xsi:type="dcterms:W3CDTF">2018-11-17T10:04:00Z</dcterms:modified>
</cp:coreProperties>
</file>