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ECD6F" w14:textId="77777777" w:rsidR="002733EA" w:rsidRPr="002733EA" w:rsidRDefault="002733EA" w:rsidP="002733EA">
      <w:pPr>
        <w:shd w:val="clear" w:color="auto" w:fill="FAFAFA"/>
        <w:spacing w:before="100" w:beforeAutospacing="1" w:after="100" w:afterAutospacing="1" w:line="240" w:lineRule="auto"/>
        <w:outlineLvl w:val="0"/>
        <w:rPr>
          <w:rFonts w:ascii="Arial" w:eastAsia="Times New Roman" w:hAnsi="Arial" w:cs="Arial"/>
          <w:b/>
          <w:bCs/>
          <w:color w:val="001738"/>
          <w:kern w:val="36"/>
          <w:sz w:val="38"/>
          <w:szCs w:val="38"/>
        </w:rPr>
      </w:pPr>
      <w:r w:rsidRPr="002733EA">
        <w:rPr>
          <w:rFonts w:ascii="Arial" w:eastAsia="Times New Roman" w:hAnsi="Arial" w:cs="Arial"/>
          <w:b/>
          <w:bCs/>
          <w:color w:val="001738"/>
          <w:kern w:val="36"/>
          <w:sz w:val="38"/>
          <w:szCs w:val="38"/>
        </w:rPr>
        <w:t>Module 3 - Background</w:t>
      </w:r>
    </w:p>
    <w:p w14:paraId="619C0C50" w14:textId="77777777" w:rsidR="002733EA" w:rsidRPr="002733EA" w:rsidRDefault="002733EA" w:rsidP="002733EA">
      <w:pPr>
        <w:pBdr>
          <w:top w:val="single" w:sz="6" w:space="12" w:color="669966"/>
          <w:left w:val="single" w:sz="6" w:space="24" w:color="669966"/>
          <w:bottom w:val="single" w:sz="6" w:space="12" w:color="669966"/>
          <w:right w:val="single" w:sz="6" w:space="12" w:color="669966"/>
        </w:pBdr>
        <w:shd w:val="clear" w:color="auto" w:fill="FAFAFA"/>
        <w:spacing w:before="100" w:beforeAutospacing="1" w:after="0" w:line="240" w:lineRule="auto"/>
        <w:outlineLvl w:val="1"/>
        <w:rPr>
          <w:rFonts w:ascii="Arial" w:eastAsia="Times New Roman" w:hAnsi="Arial" w:cs="Arial"/>
          <w:b/>
          <w:bCs/>
          <w:caps/>
          <w:color w:val="FF0000"/>
          <w:sz w:val="34"/>
          <w:szCs w:val="34"/>
        </w:rPr>
      </w:pPr>
      <w:r w:rsidRPr="002733EA">
        <w:rPr>
          <w:rFonts w:ascii="Arial" w:eastAsia="Times New Roman" w:hAnsi="Arial" w:cs="Arial"/>
          <w:b/>
          <w:bCs/>
          <w:caps/>
          <w:color w:val="FF0000"/>
          <w:sz w:val="34"/>
          <w:szCs w:val="34"/>
        </w:rPr>
        <w:t>WAREHOUSING</w:t>
      </w:r>
    </w:p>
    <w:p w14:paraId="3A9155F8" w14:textId="77777777" w:rsidR="002733EA" w:rsidRPr="002733EA" w:rsidRDefault="002733EA" w:rsidP="002733EA">
      <w:pPr>
        <w:shd w:val="clear" w:color="auto" w:fill="C4D5DD"/>
        <w:spacing w:after="0" w:line="312" w:lineRule="atLeast"/>
        <w:outlineLvl w:val="2"/>
        <w:rPr>
          <w:rFonts w:ascii="Arial" w:eastAsia="Times New Roman" w:hAnsi="Arial" w:cs="Arial"/>
          <w:b/>
          <w:bCs/>
          <w:color w:val="005697"/>
          <w:sz w:val="29"/>
          <w:szCs w:val="29"/>
        </w:rPr>
      </w:pPr>
      <w:r w:rsidRPr="002733EA">
        <w:rPr>
          <w:rFonts w:ascii="Arial" w:eastAsia="Times New Roman" w:hAnsi="Arial" w:cs="Arial"/>
          <w:b/>
          <w:bCs/>
          <w:color w:val="005697"/>
          <w:sz w:val="29"/>
          <w:szCs w:val="29"/>
        </w:rPr>
        <w:t>Required Reading</w:t>
      </w:r>
    </w:p>
    <w:p w14:paraId="749BDD10" w14:textId="77777777" w:rsidR="002733EA" w:rsidRPr="002733EA" w:rsidRDefault="002733EA" w:rsidP="002733EA">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2733EA">
        <w:rPr>
          <w:rFonts w:ascii="Arial" w:eastAsia="Times New Roman" w:hAnsi="Arial" w:cs="Arial"/>
          <w:color w:val="363636"/>
          <w:sz w:val="27"/>
          <w:szCs w:val="27"/>
        </w:rPr>
        <w:t xml:space="preserve">The following information will give you a good background on some of the current trends in </w:t>
      </w:r>
      <w:r w:rsidRPr="002733EA">
        <w:rPr>
          <w:rFonts w:ascii="Arial" w:eastAsia="Times New Roman" w:hAnsi="Arial" w:cs="Arial"/>
          <w:noProof/>
          <w:color w:val="363636"/>
          <w:sz w:val="27"/>
          <w:szCs w:val="27"/>
        </w:rPr>
        <w:t>warehousing</w:t>
      </w:r>
      <w:r w:rsidRPr="002733EA">
        <w:rPr>
          <w:rFonts w:ascii="Arial" w:eastAsia="Times New Roman" w:hAnsi="Arial" w:cs="Arial"/>
          <w:color w:val="363636"/>
          <w:sz w:val="27"/>
          <w:szCs w:val="27"/>
        </w:rPr>
        <w:t>. Please review the information presented. Be sure that you look for additional resources to support your case study and SLP papers.</w:t>
      </w:r>
    </w:p>
    <w:p w14:paraId="1A7CA414" w14:textId="77777777" w:rsidR="002733EA" w:rsidRPr="002733EA" w:rsidRDefault="002733EA" w:rsidP="002733EA">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2733EA">
        <w:rPr>
          <w:rFonts w:ascii="Arial" w:eastAsia="Times New Roman" w:hAnsi="Arial" w:cs="Arial"/>
          <w:color w:val="363636"/>
          <w:sz w:val="27"/>
          <w:szCs w:val="27"/>
        </w:rPr>
        <w:t>Here is a good article that discusses value-added services that 3PLs and warehousing organizations are starting to offer:</w:t>
      </w:r>
    </w:p>
    <w:p w14:paraId="3AAF5115" w14:textId="54B903CB" w:rsidR="002733EA" w:rsidRPr="002733EA" w:rsidRDefault="002733EA" w:rsidP="002733EA">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2733EA">
        <w:rPr>
          <w:rFonts w:ascii="Arial" w:eastAsia="Times New Roman" w:hAnsi="Arial" w:cs="Arial"/>
          <w:color w:val="363636"/>
          <w:sz w:val="27"/>
          <w:szCs w:val="27"/>
        </w:rPr>
        <w:t xml:space="preserve">Atkinson, W. (2002). Value-added services from 3PLs and public warehouses: What to look </w:t>
      </w:r>
      <w:r w:rsidRPr="002733EA">
        <w:rPr>
          <w:rFonts w:ascii="Arial" w:eastAsia="Times New Roman" w:hAnsi="Arial" w:cs="Arial"/>
          <w:noProof/>
          <w:color w:val="363636"/>
          <w:sz w:val="27"/>
          <w:szCs w:val="27"/>
        </w:rPr>
        <w:t>for</w:t>
      </w:r>
      <w:r w:rsidRPr="002733EA">
        <w:rPr>
          <w:rFonts w:ascii="Arial" w:eastAsia="Times New Roman" w:hAnsi="Arial" w:cs="Arial"/>
          <w:color w:val="363636"/>
          <w:sz w:val="27"/>
          <w:szCs w:val="27"/>
        </w:rPr>
        <w:t>.</w:t>
      </w:r>
      <w:r w:rsidRPr="002733EA">
        <w:rPr>
          <w:rFonts w:ascii="Arial" w:eastAsia="Times New Roman" w:hAnsi="Arial" w:cs="Arial"/>
          <w:i/>
          <w:iCs/>
          <w:color w:val="363636"/>
          <w:sz w:val="27"/>
          <w:szCs w:val="27"/>
        </w:rPr>
        <w:t>Logistics Management, 41</w:t>
      </w:r>
      <w:r w:rsidRPr="002733EA">
        <w:rPr>
          <w:rFonts w:ascii="Arial" w:eastAsia="Times New Roman" w:hAnsi="Arial" w:cs="Arial"/>
          <w:color w:val="363636"/>
          <w:sz w:val="27"/>
          <w:szCs w:val="27"/>
        </w:rPr>
        <w:t>(10), W8-11. Retrieved on December 9, 2014, from ProQuest. (ProQuest doc ID 197212274)</w:t>
      </w:r>
      <w:r w:rsidR="008D13CF">
        <w:rPr>
          <w:rFonts w:ascii="Arial" w:eastAsia="Times New Roman" w:hAnsi="Arial" w:cs="Arial"/>
          <w:color w:val="363636"/>
          <w:sz w:val="27"/>
          <w:szCs w:val="27"/>
        </w:rPr>
        <w:t xml:space="preserve"> </w:t>
      </w:r>
      <w:r w:rsidR="008D13CF" w:rsidRPr="008D13CF">
        <w:rPr>
          <w:rFonts w:ascii="Arial" w:eastAsia="Times New Roman" w:hAnsi="Arial" w:cs="Arial"/>
          <w:b/>
          <w:color w:val="363636"/>
          <w:sz w:val="27"/>
          <w:szCs w:val="27"/>
        </w:rPr>
        <w:t>(see attached)</w:t>
      </w:r>
    </w:p>
    <w:p w14:paraId="72C666D8" w14:textId="77777777" w:rsidR="002733EA" w:rsidRPr="002733EA" w:rsidRDefault="002733EA" w:rsidP="002733EA">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2733EA">
        <w:rPr>
          <w:rFonts w:ascii="Arial" w:eastAsia="Times New Roman" w:hAnsi="Arial" w:cs="Arial"/>
          <w:b/>
          <w:bCs/>
          <w:color w:val="363636"/>
          <w:sz w:val="27"/>
          <w:szCs w:val="27"/>
        </w:rPr>
        <w:t>Abstract: </w:t>
      </w:r>
      <w:r w:rsidRPr="002733EA">
        <w:rPr>
          <w:rFonts w:ascii="Arial" w:eastAsia="Times New Roman" w:hAnsi="Arial" w:cs="Arial"/>
          <w:i/>
          <w:iCs/>
          <w:color w:val="363636"/>
          <w:sz w:val="27"/>
          <w:szCs w:val="27"/>
        </w:rPr>
        <w:t>A lot of warehouses are still just offering traditional services - putting away and picking, explains Evan Armstrong, vice president of Armstrong &amp; Associates, Inc., which provides strategic consulting services to shippers, 3PLs and carriers and also publishes Who's Who in Logistics. Still, though, while many providers remain in the stone age, most are moving forward with new value-added services. With the advent of the very time-sensitive supply chain model, there is a move away from traditional warehousing with shelves and racks for storage to more of a flow-through operation, such as cross-docking, plus some light manufacturing or assembly and kitting, notes Adrian Gonzalez, senior analyst with ARC Advisory Group.</w:t>
      </w:r>
    </w:p>
    <w:p w14:paraId="406472F7" w14:textId="77777777" w:rsidR="002733EA" w:rsidRPr="002733EA" w:rsidRDefault="002733EA" w:rsidP="002733EA">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2733EA">
        <w:rPr>
          <w:rFonts w:ascii="Arial" w:eastAsia="Times New Roman" w:hAnsi="Arial" w:cs="Arial"/>
          <w:color w:val="363636"/>
          <w:sz w:val="27"/>
          <w:szCs w:val="27"/>
        </w:rPr>
        <w:t xml:space="preserve">This article takes an </w:t>
      </w:r>
      <w:r w:rsidRPr="002733EA">
        <w:rPr>
          <w:rFonts w:ascii="Arial" w:eastAsia="Times New Roman" w:hAnsi="Arial" w:cs="Arial"/>
          <w:noProof/>
          <w:color w:val="363636"/>
          <w:sz w:val="27"/>
          <w:szCs w:val="27"/>
        </w:rPr>
        <w:t>in depth</w:t>
      </w:r>
      <w:r w:rsidRPr="002733EA">
        <w:rPr>
          <w:rFonts w:ascii="Arial" w:eastAsia="Times New Roman" w:hAnsi="Arial" w:cs="Arial"/>
          <w:color w:val="363636"/>
          <w:sz w:val="27"/>
          <w:szCs w:val="27"/>
        </w:rPr>
        <w:t xml:space="preserve"> look at the functional utility of warehouses.</w:t>
      </w:r>
    </w:p>
    <w:p w14:paraId="689B495E" w14:textId="1E9119A1" w:rsidR="002733EA" w:rsidRPr="002733EA" w:rsidRDefault="002733EA" w:rsidP="002733EA">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2733EA">
        <w:rPr>
          <w:rFonts w:ascii="Arial" w:eastAsia="Times New Roman" w:hAnsi="Arial" w:cs="Arial"/>
          <w:color w:val="363636"/>
          <w:sz w:val="27"/>
          <w:szCs w:val="27"/>
        </w:rPr>
        <w:t>McKnight, D. (1999). A practical guide to evaluating the functional utility of warehouses. </w:t>
      </w:r>
      <w:r w:rsidRPr="002733EA">
        <w:rPr>
          <w:rFonts w:ascii="Arial" w:eastAsia="Times New Roman" w:hAnsi="Arial" w:cs="Arial"/>
          <w:i/>
          <w:iCs/>
          <w:color w:val="363636"/>
          <w:sz w:val="27"/>
          <w:szCs w:val="27"/>
        </w:rPr>
        <w:t xml:space="preserve">The Appraisal Journal, </w:t>
      </w:r>
      <w:r w:rsidRPr="002733EA">
        <w:rPr>
          <w:rFonts w:ascii="Arial" w:eastAsia="Times New Roman" w:hAnsi="Arial" w:cs="Arial"/>
          <w:i/>
          <w:iCs/>
          <w:color w:val="363636"/>
          <w:sz w:val="27"/>
          <w:szCs w:val="27"/>
        </w:rPr>
        <w:lastRenderedPageBreak/>
        <w:t>67</w:t>
      </w:r>
      <w:r w:rsidRPr="002733EA">
        <w:rPr>
          <w:rFonts w:ascii="Arial" w:eastAsia="Times New Roman" w:hAnsi="Arial" w:cs="Arial"/>
          <w:color w:val="363636"/>
          <w:sz w:val="27"/>
          <w:szCs w:val="27"/>
        </w:rPr>
        <w:t>(1), 29-37. Retrieved on December 9, 2014, from ProQuest. (ProQuest doc ID 236506617)</w:t>
      </w:r>
      <w:r w:rsidR="008D13CF" w:rsidRPr="008D13CF">
        <w:rPr>
          <w:rFonts w:ascii="Arial" w:eastAsia="Times New Roman" w:hAnsi="Arial" w:cs="Arial"/>
          <w:b/>
          <w:color w:val="363636"/>
          <w:sz w:val="27"/>
          <w:szCs w:val="27"/>
        </w:rPr>
        <w:t xml:space="preserve"> </w:t>
      </w:r>
      <w:r w:rsidR="008D13CF" w:rsidRPr="008D13CF">
        <w:rPr>
          <w:rFonts w:ascii="Arial" w:eastAsia="Times New Roman" w:hAnsi="Arial" w:cs="Arial"/>
          <w:b/>
          <w:color w:val="363636"/>
          <w:sz w:val="27"/>
          <w:szCs w:val="27"/>
        </w:rPr>
        <w:t>(see attached)</w:t>
      </w:r>
    </w:p>
    <w:p w14:paraId="285A7A9C" w14:textId="77777777" w:rsidR="002733EA" w:rsidRPr="002733EA" w:rsidRDefault="002733EA" w:rsidP="002733EA">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2733EA">
        <w:rPr>
          <w:rFonts w:ascii="Arial" w:eastAsia="Times New Roman" w:hAnsi="Arial" w:cs="Arial"/>
          <w:b/>
          <w:bCs/>
          <w:color w:val="363636"/>
          <w:sz w:val="27"/>
          <w:szCs w:val="27"/>
        </w:rPr>
        <w:t>Abstract: </w:t>
      </w:r>
      <w:r w:rsidRPr="002733EA">
        <w:rPr>
          <w:rFonts w:ascii="Arial" w:eastAsia="Times New Roman" w:hAnsi="Arial" w:cs="Arial"/>
          <w:i/>
          <w:iCs/>
          <w:color w:val="363636"/>
          <w:sz w:val="27"/>
          <w:szCs w:val="27"/>
        </w:rPr>
        <w:t xml:space="preserve">Many appraisers fail to address some forms of functional obsolescence in warehouse space. Details on </w:t>
      </w:r>
      <w:r w:rsidRPr="002733EA">
        <w:rPr>
          <w:rFonts w:ascii="Arial" w:eastAsia="Times New Roman" w:hAnsi="Arial" w:cs="Arial"/>
          <w:i/>
          <w:iCs/>
          <w:noProof/>
          <w:color w:val="363636"/>
          <w:sz w:val="27"/>
          <w:szCs w:val="27"/>
        </w:rPr>
        <w:t>interior</w:t>
      </w:r>
      <w:r w:rsidRPr="002733EA">
        <w:rPr>
          <w:rFonts w:ascii="Arial" w:eastAsia="Times New Roman" w:hAnsi="Arial" w:cs="Arial"/>
          <w:i/>
          <w:iCs/>
          <w:color w:val="363636"/>
          <w:sz w:val="27"/>
          <w:szCs w:val="27"/>
        </w:rPr>
        <w:t xml:space="preserve"> and exterior layout, dock design, and safety and security issues play an </w:t>
      </w:r>
      <w:r w:rsidRPr="002733EA">
        <w:rPr>
          <w:rFonts w:ascii="Arial" w:eastAsia="Times New Roman" w:hAnsi="Arial" w:cs="Arial"/>
          <w:i/>
          <w:iCs/>
          <w:noProof/>
          <w:color w:val="363636"/>
          <w:sz w:val="27"/>
          <w:szCs w:val="27"/>
        </w:rPr>
        <w:t>important</w:t>
      </w:r>
      <w:r w:rsidRPr="002733EA">
        <w:rPr>
          <w:rFonts w:ascii="Arial" w:eastAsia="Times New Roman" w:hAnsi="Arial" w:cs="Arial"/>
          <w:i/>
          <w:iCs/>
          <w:color w:val="363636"/>
          <w:sz w:val="27"/>
          <w:szCs w:val="27"/>
        </w:rPr>
        <w:t xml:space="preserve"> role in the highest and best use and functional utility of a warehouse. The practical considerations of </w:t>
      </w:r>
      <w:r w:rsidRPr="002733EA">
        <w:rPr>
          <w:rFonts w:ascii="Arial" w:eastAsia="Times New Roman" w:hAnsi="Arial" w:cs="Arial"/>
          <w:i/>
          <w:iCs/>
          <w:noProof/>
          <w:color w:val="363636"/>
          <w:sz w:val="27"/>
          <w:szCs w:val="27"/>
        </w:rPr>
        <w:t>good</w:t>
      </w:r>
      <w:r w:rsidRPr="002733EA">
        <w:rPr>
          <w:rFonts w:ascii="Arial" w:eastAsia="Times New Roman" w:hAnsi="Arial" w:cs="Arial"/>
          <w:i/>
          <w:iCs/>
          <w:color w:val="363636"/>
          <w:sz w:val="27"/>
          <w:szCs w:val="27"/>
        </w:rPr>
        <w:t xml:space="preserve"> warehouse </w:t>
      </w:r>
      <w:r w:rsidRPr="002733EA">
        <w:rPr>
          <w:rFonts w:ascii="Arial" w:eastAsia="Times New Roman" w:hAnsi="Arial" w:cs="Arial"/>
          <w:i/>
          <w:iCs/>
          <w:noProof/>
          <w:color w:val="363636"/>
          <w:sz w:val="27"/>
          <w:szCs w:val="27"/>
        </w:rPr>
        <w:t>are described</w:t>
      </w:r>
      <w:r w:rsidRPr="002733EA">
        <w:rPr>
          <w:rFonts w:ascii="Arial" w:eastAsia="Times New Roman" w:hAnsi="Arial" w:cs="Arial"/>
          <w:i/>
          <w:iCs/>
          <w:color w:val="363636"/>
          <w:sz w:val="27"/>
          <w:szCs w:val="27"/>
        </w:rPr>
        <w:t xml:space="preserve"> in clear and helpful detail, including modes of delivery and scheduling. The </w:t>
      </w:r>
      <w:r w:rsidRPr="002733EA">
        <w:rPr>
          <w:rFonts w:ascii="Arial" w:eastAsia="Times New Roman" w:hAnsi="Arial" w:cs="Arial"/>
          <w:i/>
          <w:iCs/>
          <w:noProof/>
          <w:color w:val="363636"/>
          <w:sz w:val="27"/>
          <w:szCs w:val="27"/>
        </w:rPr>
        <w:t>oversimplified</w:t>
      </w:r>
      <w:r w:rsidRPr="002733EA">
        <w:rPr>
          <w:rFonts w:ascii="Arial" w:eastAsia="Times New Roman" w:hAnsi="Arial" w:cs="Arial"/>
          <w:i/>
          <w:iCs/>
          <w:color w:val="363636"/>
          <w:sz w:val="27"/>
          <w:szCs w:val="27"/>
        </w:rPr>
        <w:t xml:space="preserve"> process of considering only clear heights in the appraisal of such properties </w:t>
      </w:r>
      <w:r w:rsidRPr="002733EA">
        <w:rPr>
          <w:rFonts w:ascii="Arial" w:eastAsia="Times New Roman" w:hAnsi="Arial" w:cs="Arial"/>
          <w:i/>
          <w:iCs/>
          <w:noProof/>
          <w:color w:val="363636"/>
          <w:sz w:val="27"/>
          <w:szCs w:val="27"/>
        </w:rPr>
        <w:t>is cautioned</w:t>
      </w:r>
      <w:r w:rsidRPr="002733EA">
        <w:rPr>
          <w:rFonts w:ascii="Arial" w:eastAsia="Times New Roman" w:hAnsi="Arial" w:cs="Arial"/>
          <w:i/>
          <w:iCs/>
          <w:color w:val="363636"/>
          <w:sz w:val="27"/>
          <w:szCs w:val="27"/>
        </w:rPr>
        <w:t xml:space="preserve"> </w:t>
      </w:r>
      <w:r w:rsidRPr="002733EA">
        <w:rPr>
          <w:rFonts w:ascii="Arial" w:eastAsia="Times New Roman" w:hAnsi="Arial" w:cs="Arial"/>
          <w:i/>
          <w:iCs/>
          <w:noProof/>
          <w:color w:val="363636"/>
          <w:sz w:val="27"/>
          <w:szCs w:val="27"/>
        </w:rPr>
        <w:t>against</w:t>
      </w:r>
      <w:r w:rsidRPr="002733EA">
        <w:rPr>
          <w:rFonts w:ascii="Arial" w:eastAsia="Times New Roman" w:hAnsi="Arial" w:cs="Arial"/>
          <w:i/>
          <w:iCs/>
          <w:color w:val="363636"/>
          <w:sz w:val="27"/>
          <w:szCs w:val="27"/>
        </w:rPr>
        <w:t>.</w:t>
      </w:r>
    </w:p>
    <w:p w14:paraId="321E75E2" w14:textId="77777777" w:rsidR="002733EA" w:rsidRPr="002733EA" w:rsidRDefault="002733EA" w:rsidP="002733EA">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2733EA">
        <w:rPr>
          <w:rFonts w:ascii="Arial" w:eastAsia="Times New Roman" w:hAnsi="Arial" w:cs="Arial"/>
          <w:b/>
          <w:bCs/>
          <w:color w:val="363636"/>
          <w:sz w:val="27"/>
          <w:szCs w:val="27"/>
        </w:rPr>
        <w:t xml:space="preserve">This article will </w:t>
      </w:r>
      <w:r w:rsidRPr="002733EA">
        <w:rPr>
          <w:rFonts w:ascii="Arial" w:eastAsia="Times New Roman" w:hAnsi="Arial" w:cs="Arial"/>
          <w:b/>
          <w:bCs/>
          <w:noProof/>
          <w:color w:val="363636"/>
          <w:sz w:val="27"/>
          <w:szCs w:val="27"/>
        </w:rPr>
        <w:t>be used</w:t>
      </w:r>
      <w:r w:rsidRPr="002733EA">
        <w:rPr>
          <w:rFonts w:ascii="Arial" w:eastAsia="Times New Roman" w:hAnsi="Arial" w:cs="Arial"/>
          <w:b/>
          <w:bCs/>
          <w:color w:val="363636"/>
          <w:sz w:val="27"/>
          <w:szCs w:val="27"/>
        </w:rPr>
        <w:t xml:space="preserve"> for the case study assignment:</w:t>
      </w:r>
    </w:p>
    <w:p w14:paraId="559D3651" w14:textId="7B58DB8B" w:rsidR="002733EA" w:rsidRPr="002733EA" w:rsidRDefault="002733EA" w:rsidP="002733EA">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2733EA">
        <w:rPr>
          <w:rFonts w:ascii="Arial" w:eastAsia="Times New Roman" w:hAnsi="Arial" w:cs="Arial"/>
          <w:color w:val="363636"/>
          <w:sz w:val="27"/>
          <w:szCs w:val="27"/>
        </w:rPr>
        <w:t>Anonymous. (2002). WMS drives efficient parts distribution.</w:t>
      </w:r>
      <w:r w:rsidRPr="002733EA">
        <w:rPr>
          <w:rFonts w:ascii="Arial" w:eastAsia="Times New Roman" w:hAnsi="Arial" w:cs="Arial"/>
          <w:i/>
          <w:iCs/>
          <w:color w:val="363636"/>
          <w:sz w:val="27"/>
          <w:szCs w:val="27"/>
        </w:rPr>
        <w:t> Modern Materials Handling</w:t>
      </w:r>
      <w:r w:rsidRPr="002733EA">
        <w:rPr>
          <w:rFonts w:ascii="Arial" w:eastAsia="Times New Roman" w:hAnsi="Arial" w:cs="Arial"/>
          <w:color w:val="363636"/>
          <w:sz w:val="27"/>
          <w:szCs w:val="27"/>
        </w:rPr>
        <w:t>, </w:t>
      </w:r>
      <w:r w:rsidRPr="002733EA">
        <w:rPr>
          <w:rFonts w:ascii="Arial" w:eastAsia="Times New Roman" w:hAnsi="Arial" w:cs="Arial"/>
          <w:i/>
          <w:iCs/>
          <w:color w:val="363636"/>
          <w:sz w:val="27"/>
          <w:szCs w:val="27"/>
        </w:rPr>
        <w:t>57</w:t>
      </w:r>
      <w:r w:rsidRPr="002733EA">
        <w:rPr>
          <w:rFonts w:ascii="Arial" w:eastAsia="Times New Roman" w:hAnsi="Arial" w:cs="Arial"/>
          <w:color w:val="363636"/>
          <w:sz w:val="27"/>
          <w:szCs w:val="27"/>
        </w:rPr>
        <w:t>(12). Retrieved on December 9, 2014, from ProQuest. (ProQuest doc ID 236506617)</w:t>
      </w:r>
      <w:r w:rsidR="00F139D8" w:rsidRPr="00F139D8">
        <w:rPr>
          <w:rFonts w:ascii="Arial" w:eastAsia="Times New Roman" w:hAnsi="Arial" w:cs="Arial"/>
          <w:b/>
          <w:color w:val="363636"/>
          <w:sz w:val="27"/>
          <w:szCs w:val="27"/>
        </w:rPr>
        <w:t xml:space="preserve"> </w:t>
      </w:r>
      <w:r w:rsidR="00F139D8" w:rsidRPr="008D13CF">
        <w:rPr>
          <w:rFonts w:ascii="Arial" w:eastAsia="Times New Roman" w:hAnsi="Arial" w:cs="Arial"/>
          <w:b/>
          <w:color w:val="363636"/>
          <w:sz w:val="27"/>
          <w:szCs w:val="27"/>
        </w:rPr>
        <w:t>(see attached)</w:t>
      </w:r>
      <w:bookmarkStart w:id="0" w:name="_GoBack"/>
      <w:bookmarkEnd w:id="0"/>
    </w:p>
    <w:p w14:paraId="0B39ABC1" w14:textId="77777777" w:rsidR="002733EA" w:rsidRPr="002733EA" w:rsidRDefault="002733EA" w:rsidP="002733EA">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2733EA">
        <w:rPr>
          <w:rFonts w:ascii="Arial" w:eastAsia="Times New Roman" w:hAnsi="Arial" w:cs="Arial"/>
          <w:b/>
          <w:bCs/>
          <w:color w:val="363636"/>
          <w:sz w:val="27"/>
          <w:szCs w:val="27"/>
        </w:rPr>
        <w:t>Abstract: </w:t>
      </w:r>
      <w:r w:rsidRPr="002733EA">
        <w:rPr>
          <w:rFonts w:ascii="Arial" w:eastAsia="Times New Roman" w:hAnsi="Arial" w:cs="Arial"/>
          <w:i/>
          <w:iCs/>
          <w:color w:val="363636"/>
          <w:sz w:val="27"/>
          <w:szCs w:val="27"/>
        </w:rPr>
        <w:t xml:space="preserve">When Toyota set up a spare parts distribution facility to support its operations in the UK, the automobile maker realized that a state-of-the-art warehouse management system (WMS) was critical. The WMS that Toyota chose not only tracks parts </w:t>
      </w:r>
      <w:r w:rsidRPr="002733EA">
        <w:rPr>
          <w:rFonts w:ascii="Arial" w:eastAsia="Times New Roman" w:hAnsi="Arial" w:cs="Arial"/>
          <w:i/>
          <w:iCs/>
          <w:noProof/>
          <w:color w:val="363636"/>
          <w:sz w:val="27"/>
          <w:szCs w:val="27"/>
        </w:rPr>
        <w:t>location,</w:t>
      </w:r>
      <w:r w:rsidRPr="002733EA">
        <w:rPr>
          <w:rFonts w:ascii="Arial" w:eastAsia="Times New Roman" w:hAnsi="Arial" w:cs="Arial"/>
          <w:i/>
          <w:iCs/>
          <w:color w:val="363636"/>
          <w:sz w:val="27"/>
          <w:szCs w:val="27"/>
        </w:rPr>
        <w:t xml:space="preserve"> but produces a tag label, which gives part details and </w:t>
      </w:r>
      <w:r w:rsidRPr="002733EA">
        <w:rPr>
          <w:rFonts w:ascii="Arial" w:eastAsia="Times New Roman" w:hAnsi="Arial" w:cs="Arial"/>
          <w:i/>
          <w:iCs/>
          <w:noProof/>
          <w:color w:val="363636"/>
          <w:sz w:val="27"/>
          <w:szCs w:val="27"/>
        </w:rPr>
        <w:t>subsequent</w:t>
      </w:r>
      <w:r w:rsidRPr="002733EA">
        <w:rPr>
          <w:rFonts w:ascii="Arial" w:eastAsia="Times New Roman" w:hAnsi="Arial" w:cs="Arial"/>
          <w:i/>
          <w:iCs/>
          <w:color w:val="363636"/>
          <w:sz w:val="27"/>
          <w:szCs w:val="27"/>
        </w:rPr>
        <w:t xml:space="preserve"> </w:t>
      </w:r>
      <w:r w:rsidRPr="002733EA">
        <w:rPr>
          <w:rFonts w:ascii="Arial" w:eastAsia="Times New Roman" w:hAnsi="Arial" w:cs="Arial"/>
          <w:i/>
          <w:iCs/>
          <w:noProof/>
          <w:color w:val="363636"/>
          <w:sz w:val="27"/>
          <w:szCs w:val="27"/>
        </w:rPr>
        <w:t>locations</w:t>
      </w:r>
      <w:r w:rsidRPr="002733EA">
        <w:rPr>
          <w:rFonts w:ascii="Arial" w:eastAsia="Times New Roman" w:hAnsi="Arial" w:cs="Arial"/>
          <w:i/>
          <w:iCs/>
          <w:color w:val="363636"/>
          <w:sz w:val="27"/>
          <w:szCs w:val="27"/>
        </w:rPr>
        <w:t>.</w:t>
      </w:r>
    </w:p>
    <w:p w14:paraId="3E7EB4EC" w14:textId="77777777" w:rsidR="002733EA" w:rsidRPr="002733EA" w:rsidRDefault="002733EA" w:rsidP="002733EA">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2733EA">
        <w:rPr>
          <w:rFonts w:ascii="Arial" w:eastAsia="Times New Roman" w:hAnsi="Arial" w:cs="Arial"/>
          <w:i/>
          <w:iCs/>
          <w:color w:val="363636"/>
          <w:sz w:val="27"/>
          <w:szCs w:val="27"/>
        </w:rPr>
        <w:t>NOTE: For help locating the readings, please see the ProQuest Document IDs and EBSCO Accession Numbers shown on the Course Materials / Bibliography page of the Course Syllabus.</w:t>
      </w:r>
    </w:p>
    <w:p w14:paraId="14CF28CC" w14:textId="566BBEAD" w:rsidR="00E613DF" w:rsidRPr="002733EA" w:rsidRDefault="00E613DF" w:rsidP="002733EA"/>
    <w:sectPr w:rsidR="00E613DF" w:rsidRPr="0027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2MTA3tLA0NLU0NzBS0lEKTi0uzszPAykwrAUAgOxl0ywAAAA="/>
  </w:docVars>
  <w:rsids>
    <w:rsidRoot w:val="00E613DF"/>
    <w:rsid w:val="002733EA"/>
    <w:rsid w:val="008D13CF"/>
    <w:rsid w:val="00BD28DB"/>
    <w:rsid w:val="00C400C3"/>
    <w:rsid w:val="00DF49EA"/>
    <w:rsid w:val="00E613DF"/>
    <w:rsid w:val="00F1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FC39"/>
  <w15:chartTrackingRefBased/>
  <w15:docId w15:val="{5F62CA56-E8C5-492C-A5FD-2F46A0BE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733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33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733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3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733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33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733EA"/>
    <w:rPr>
      <w:rFonts w:ascii="Times New Roman" w:eastAsia="Times New Roman" w:hAnsi="Times New Roman" w:cs="Times New Roman"/>
      <w:b/>
      <w:bCs/>
      <w:sz w:val="27"/>
      <w:szCs w:val="27"/>
    </w:rPr>
  </w:style>
  <w:style w:type="character" w:styleId="Emphasis">
    <w:name w:val="Emphasis"/>
    <w:basedOn w:val="DefaultParagraphFont"/>
    <w:uiPriority w:val="20"/>
    <w:qFormat/>
    <w:rsid w:val="002733EA"/>
    <w:rPr>
      <w:i/>
      <w:iCs/>
    </w:rPr>
  </w:style>
  <w:style w:type="character" w:styleId="Strong">
    <w:name w:val="Strong"/>
    <w:basedOn w:val="DefaultParagraphFont"/>
    <w:uiPriority w:val="22"/>
    <w:qFormat/>
    <w:rsid w:val="00273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472967">
      <w:bodyDiv w:val="1"/>
      <w:marLeft w:val="0"/>
      <w:marRight w:val="0"/>
      <w:marTop w:val="0"/>
      <w:marBottom w:val="0"/>
      <w:divBdr>
        <w:top w:val="none" w:sz="0" w:space="0" w:color="auto"/>
        <w:left w:val="none" w:sz="0" w:space="0" w:color="auto"/>
        <w:bottom w:val="none" w:sz="0" w:space="0" w:color="auto"/>
        <w:right w:val="none" w:sz="0" w:space="0" w:color="auto"/>
      </w:divBdr>
    </w:div>
    <w:div w:id="1995717961">
      <w:bodyDiv w:val="1"/>
      <w:marLeft w:val="0"/>
      <w:marRight w:val="0"/>
      <w:marTop w:val="0"/>
      <w:marBottom w:val="0"/>
      <w:divBdr>
        <w:top w:val="none" w:sz="0" w:space="0" w:color="auto"/>
        <w:left w:val="none" w:sz="0" w:space="0" w:color="auto"/>
        <w:bottom w:val="none" w:sz="0" w:space="0" w:color="auto"/>
        <w:right w:val="none" w:sz="0" w:space="0" w:color="auto"/>
      </w:divBdr>
      <w:divsChild>
        <w:div w:id="221402805">
          <w:marLeft w:val="0"/>
          <w:marRight w:val="0"/>
          <w:marTop w:val="0"/>
          <w:marBottom w:val="0"/>
          <w:divBdr>
            <w:top w:val="none" w:sz="0" w:space="0" w:color="auto"/>
            <w:left w:val="none" w:sz="0" w:space="0" w:color="auto"/>
            <w:bottom w:val="none" w:sz="0" w:space="0" w:color="auto"/>
            <w:right w:val="none" w:sz="0" w:space="0" w:color="auto"/>
          </w:divBdr>
        </w:div>
        <w:div w:id="1978876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ranjan</cp:lastModifiedBy>
  <cp:revision>7</cp:revision>
  <dcterms:created xsi:type="dcterms:W3CDTF">2018-10-30T02:43:00Z</dcterms:created>
  <dcterms:modified xsi:type="dcterms:W3CDTF">2018-10-30T02:51:00Z</dcterms:modified>
</cp:coreProperties>
</file>