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AFD53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37614A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Module 3 - Background</w:t>
      </w:r>
    </w:p>
    <w:p w14:paraId="26751B8A" w14:textId="77777777" w:rsidR="0037614A" w:rsidRPr="0037614A" w:rsidRDefault="0037614A" w:rsidP="0037614A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sz w:val="34"/>
          <w:szCs w:val="34"/>
        </w:rPr>
      </w:pPr>
      <w:r w:rsidRPr="0037614A">
        <w:rPr>
          <w:rFonts w:ascii="Arial" w:eastAsia="Times New Roman" w:hAnsi="Arial" w:cs="Arial"/>
          <w:b/>
          <w:bCs/>
          <w:caps/>
          <w:sz w:val="34"/>
          <w:szCs w:val="34"/>
        </w:rPr>
        <w:t>DISTRIBUTION &amp; MARKETING PLAN</w:t>
      </w:r>
    </w:p>
    <w:p w14:paraId="75AE546C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articles explain and illustrate the role of distribution in marketing decisions.</w:t>
      </w:r>
    </w:p>
    <w:p w14:paraId="3BE9B2EA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Marketing Channels. (2014). Pearson Learning Solutions, New York, NY. Retrieved from</w:t>
      </w:r>
      <w:proofErr w:type="gram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  </w:t>
      </w:r>
      <w:proofErr w:type="gramEnd"/>
      <w:r w:rsidR="008F3159">
        <w:fldChar w:fldCharType="begin"/>
      </w:r>
      <w:r w:rsidR="008F3159">
        <w:instrText xml:space="preserve"> HYPERLINK "http://www.pearsoncustom.com/mct-comprehensive/asset.php?isbn=1269879944&amp;id=12275" \t "_blank" </w:instrText>
      </w:r>
      <w:r w:rsidR="008F3159">
        <w:fldChar w:fldCharType="separate"/>
      </w:r>
      <w:r w:rsidRPr="0037614A">
        <w:rPr>
          <w:rFonts w:ascii="Arial" w:eastAsia="Times New Roman" w:hAnsi="Arial" w:cs="Arial"/>
          <w:i/>
          <w:iCs/>
          <w:color w:val="CC3300"/>
          <w:sz w:val="24"/>
          <w:szCs w:val="24"/>
          <w:u w:val="single"/>
        </w:rPr>
        <w:t>http://www.pearsoncustom.com/mct-comprehensive/asset.php?isbn=1269879944&amp;id=12275</w:t>
      </w:r>
      <w:r w:rsidR="008F3159">
        <w:rPr>
          <w:rFonts w:ascii="Arial" w:eastAsia="Times New Roman" w:hAnsi="Arial" w:cs="Arial"/>
          <w:i/>
          <w:iCs/>
          <w:color w:val="CC3300"/>
          <w:sz w:val="24"/>
          <w:szCs w:val="24"/>
          <w:u w:val="single"/>
        </w:rPr>
        <w:fldChar w:fldCharType="end"/>
      </w:r>
    </w:p>
    <w:p w14:paraId="0F818245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Marketing Channels (Audio). (2014). Pearson Learning Solutions, New York, NY. Retrieved from </w:t>
      </w:r>
      <w:hyperlink r:id="rId4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http://www.pearsoncustom.com/mct-comprehensive/asset.php?isbn=1269879944&amp;id=11766</w:t>
        </w:r>
      </w:hyperlink>
    </w:p>
    <w:p w14:paraId="766F3A93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Retailing and Wholesaling. (2014). Pearson Learning Solutions, New York, NY. Retrieved from </w:t>
      </w:r>
      <w:hyperlink r:id="rId5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http://www.pearsoncustom.com/mct-comprehensive/asset.php?isbn=1269879944&amp;id=11537</w:t>
        </w:r>
      </w:hyperlink>
    </w:p>
    <w:p w14:paraId="24270B5F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Retailing and Wholesaling (Audio). (2014). Pearson Learning Solutions, New York, NY. Retrieved from </w:t>
      </w:r>
      <w:hyperlink r:id="rId6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http://www.pearsoncustom.com/mct-comprehensive/asset.php?isbn=1269879944&amp;id=11767</w:t>
        </w:r>
      </w:hyperlink>
    </w:p>
    <w:p w14:paraId="08EBF9A2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Distribution decisions (2009). </w:t>
      </w:r>
      <w:proofErr w:type="spellStart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KnowThis</w:t>
      </w:r>
      <w:proofErr w:type="spellEnd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7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http://www.knowthis.com/principles-of-marketing-tutorials/distribution-decisions/</w:t>
        </w:r>
      </w:hyperlink>
    </w:p>
    <w:p w14:paraId="5FD45F37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Marketing mix: Place (2011). </w:t>
      </w:r>
      <w:proofErr w:type="spellStart"/>
      <w:r w:rsidRPr="001F65C9">
        <w:rPr>
          <w:rFonts w:ascii="Arial" w:eastAsia="Times New Roman" w:hAnsi="Arial" w:cs="Arial"/>
          <w:i/>
          <w:iCs/>
          <w:noProof/>
          <w:color w:val="363636"/>
          <w:sz w:val="27"/>
          <w:szCs w:val="27"/>
        </w:rPr>
        <w:t>LearnMarketing</w:t>
      </w:r>
      <w:proofErr w:type="spellEnd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 xml:space="preserve">Retrieved </w:t>
      </w:r>
      <w:proofErr w:type="gram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from</w:t>
      </w:r>
      <w:proofErr w:type="gramEnd"/>
      <w:r w:rsidRPr="0037614A">
        <w:rPr>
          <w:rFonts w:ascii="Arial" w:eastAsia="Times New Roman" w:hAnsi="Arial" w:cs="Arial"/>
          <w:color w:val="363636"/>
          <w:sz w:val="27"/>
          <w:szCs w:val="27"/>
        </w:rPr>
        <w:t> </w:t>
      </w:r>
      <w:hyperlink r:id="rId8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http://www.learnmarketing.net/place.htm</w:t>
        </w:r>
      </w:hyperlink>
    </w:p>
    <w:p w14:paraId="7155B6FD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Perner</w:t>
      </w:r>
      <w:proofErr w:type="spellEnd"/>
      <w:r w:rsidRPr="0037614A">
        <w:rPr>
          <w:rFonts w:ascii="Arial" w:eastAsia="Times New Roman" w:hAnsi="Arial" w:cs="Arial"/>
          <w:color w:val="363636"/>
          <w:sz w:val="27"/>
          <w:szCs w:val="27"/>
        </w:rPr>
        <w:t>, L. (</w:t>
      </w:r>
      <w:proofErr w:type="spell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n.d.</w:t>
      </w:r>
      <w:proofErr w:type="spellEnd"/>
      <w:r w:rsidRPr="0037614A">
        <w:rPr>
          <w:rFonts w:ascii="Arial" w:eastAsia="Times New Roman" w:hAnsi="Arial" w:cs="Arial"/>
          <w:color w:val="363636"/>
          <w:sz w:val="27"/>
          <w:szCs w:val="27"/>
        </w:rPr>
        <w:t>). Distribution: Channels and logistics. </w:t>
      </w:r>
      <w:r w:rsidRPr="001F65C9">
        <w:rPr>
          <w:rFonts w:ascii="Arial" w:eastAsia="Times New Roman" w:hAnsi="Arial" w:cs="Arial"/>
          <w:i/>
          <w:iCs/>
          <w:noProof/>
          <w:color w:val="363636"/>
          <w:sz w:val="27"/>
          <w:szCs w:val="27"/>
        </w:rPr>
        <w:t>Introduction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 to marketing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. Marshall School. USC. Retrieved from </w:t>
      </w:r>
      <w:hyperlink r:id="rId9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http://www.consumerpsychologist.com/intro_Distribution.html</w:t>
        </w:r>
      </w:hyperlink>
    </w:p>
    <w:p w14:paraId="005A0B57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F65C9">
        <w:rPr>
          <w:rFonts w:ascii="Arial" w:eastAsia="Times New Roman" w:hAnsi="Arial" w:cs="Arial"/>
          <w:noProof/>
          <w:color w:val="363636"/>
          <w:sz w:val="27"/>
          <w:szCs w:val="27"/>
        </w:rPr>
        <w:lastRenderedPageBreak/>
        <w:t>Ramachandrin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, S., &amp; Trachtenberg, J. A. (2012). End of Era for Britannica. 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Wall Street </w:t>
      </w:r>
      <w:proofErr w:type="gramStart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Journal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37614A">
        <w:rPr>
          <w:rFonts w:ascii="Arial" w:eastAsia="Times New Roman" w:hAnsi="Arial" w:cs="Arial"/>
          <w:color w:val="363636"/>
          <w:sz w:val="27"/>
          <w:szCs w:val="27"/>
        </w:rPr>
        <w:t>March 14)</w:t>
      </w:r>
      <w:r w:rsidRPr="001F65C9">
        <w:rPr>
          <w:rFonts w:ascii="Arial" w:eastAsia="Times New Roman" w:hAnsi="Arial" w:cs="Arial"/>
          <w:noProof/>
          <w:color w:val="363636"/>
          <w:sz w:val="27"/>
          <w:szCs w:val="27"/>
        </w:rPr>
        <w:t>:B1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.</w:t>
      </w:r>
    </w:p>
    <w:p w14:paraId="1971ACCC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 xml:space="preserve">Ramsey, M. (2012). </w:t>
      </w:r>
      <w:r w:rsidRPr="001F65C9">
        <w:rPr>
          <w:rFonts w:ascii="Arial" w:eastAsia="Times New Roman" w:hAnsi="Arial" w:cs="Arial"/>
          <w:noProof/>
          <w:color w:val="363636"/>
          <w:sz w:val="27"/>
          <w:szCs w:val="27"/>
        </w:rPr>
        <w:t>Glut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 xml:space="preserve"> of small cars tests Ford resolve. 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 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(January 11): B1.</w:t>
      </w:r>
    </w:p>
    <w:p w14:paraId="38FEDDAF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Timberlake, C., &amp; Townsend, M. (2012). Macy's says Martha's dance card is too full. 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Business Week 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(February 28).</w:t>
      </w:r>
    </w:p>
    <w:p w14:paraId="248B6709" w14:textId="77777777" w:rsidR="0037614A" w:rsidRPr="0037614A" w:rsidRDefault="0037614A" w:rsidP="0037614A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37614A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Reading/Resources</w:t>
      </w:r>
    </w:p>
    <w:p w14:paraId="12FC95DF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articles illustrate use of the concepts studied in this module:</w:t>
      </w:r>
    </w:p>
    <w:p w14:paraId="7F0E3811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Halkias</w:t>
      </w:r>
      <w:proofErr w:type="spellEnd"/>
      <w:r w:rsidRPr="0037614A">
        <w:rPr>
          <w:rFonts w:ascii="Arial" w:eastAsia="Times New Roman" w:hAnsi="Arial" w:cs="Arial"/>
          <w:color w:val="363636"/>
          <w:sz w:val="27"/>
          <w:szCs w:val="27"/>
        </w:rPr>
        <w:t>, M. (2011). J.C. Penney buys stake in Martha Stewart’s company. 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The Dallas Morning </w:t>
      </w:r>
      <w:proofErr w:type="gramStart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News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37614A">
        <w:rPr>
          <w:rFonts w:ascii="Arial" w:eastAsia="Times New Roman" w:hAnsi="Arial" w:cs="Arial"/>
          <w:color w:val="363636"/>
          <w:sz w:val="27"/>
          <w:szCs w:val="27"/>
        </w:rPr>
        <w:t>December 7). Retrieved from </w:t>
      </w:r>
      <w:hyperlink r:id="rId10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http://www.dallasnews.com/business/retail/20111207-j.c.-penney-buys-stake-in-martha-stewarts-company.ece</w:t>
        </w:r>
      </w:hyperlink>
    </w:p>
    <w:p w14:paraId="5F89DCE2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37614A">
        <w:rPr>
          <w:rFonts w:ascii="Arial" w:eastAsia="Times New Roman" w:hAnsi="Arial" w:cs="Arial"/>
          <w:color w:val="363636"/>
          <w:sz w:val="27"/>
          <w:szCs w:val="27"/>
        </w:rPr>
        <w:t>JoS.</w:t>
      </w:r>
      <w:proofErr w:type="spellEnd"/>
      <w:r w:rsidRPr="0037614A">
        <w:rPr>
          <w:rFonts w:ascii="Arial" w:eastAsia="Times New Roman" w:hAnsi="Arial" w:cs="Arial"/>
          <w:color w:val="363636"/>
          <w:sz w:val="27"/>
          <w:szCs w:val="27"/>
        </w:rPr>
        <w:t xml:space="preserve"> A. (2011). Bank Clothiers expands its Internet channel to ship orders to international customers. </w:t>
      </w:r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Investment Weekly News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. (May 21), 698.</w:t>
      </w:r>
    </w:p>
    <w:p w14:paraId="46EBBBEB" w14:textId="77777777" w:rsidR="0037614A" w:rsidRPr="0037614A" w:rsidRDefault="0037614A" w:rsidP="0037614A">
      <w:pPr>
        <w:shd w:val="clear" w:color="auto" w:fill="F0F2F3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37614A">
        <w:rPr>
          <w:rFonts w:ascii="Arial" w:eastAsia="Times New Roman" w:hAnsi="Arial" w:cs="Arial"/>
          <w:color w:val="363636"/>
          <w:sz w:val="27"/>
          <w:szCs w:val="27"/>
        </w:rPr>
        <w:t>With Its New Music Storage and Player, Can Amazon Deliver in the Cloud? (2011, May 11).</w:t>
      </w:r>
      <w:proofErr w:type="spellStart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Knowledge@Wharton</w:t>
      </w:r>
      <w:proofErr w:type="spellEnd"/>
      <w:r w:rsidRPr="0037614A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37614A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1" w:tgtFrame="_blank" w:history="1">
        <w:r w:rsidRPr="0037614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http://knowledge.wharton.upenn.edu/article.cfm?articleid=2768</w:t>
        </w:r>
      </w:hyperlink>
    </w:p>
    <w:p w14:paraId="20220EDD" w14:textId="77777777" w:rsidR="00427E92" w:rsidRDefault="00427E92"/>
    <w:sectPr w:rsidR="0042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MzEzMzEyNDMyMjFT0lEKTi0uzszPAykwqgUAH6s0ciwAAAA="/>
  </w:docVars>
  <w:rsids>
    <w:rsidRoot w:val="0037614A"/>
    <w:rsid w:val="001F65C9"/>
    <w:rsid w:val="0037614A"/>
    <w:rsid w:val="00427E92"/>
    <w:rsid w:val="008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55F5"/>
  <w15:chartTrackingRefBased/>
  <w15:docId w15:val="{60CE0EA7-54C6-4A92-AACD-8420074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7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61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761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1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614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6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rketing.net/plac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nowthis.com/principles-of-marketing-tutorials/distribution-decis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custom.com/mct-comprehensive/asset.php?isbn=1269879944&amp;id=11767" TargetMode="External"/><Relationship Id="rId11" Type="http://schemas.openxmlformats.org/officeDocument/2006/relationships/hyperlink" Target="http://knowledge.wharton.upenn.edu/article.cfm?articleid=2768" TargetMode="External"/><Relationship Id="rId5" Type="http://schemas.openxmlformats.org/officeDocument/2006/relationships/hyperlink" Target="http://www.pearsoncustom.com/mct-comprehensive/asset.php?isbn=1269879944&amp;id=11537" TargetMode="External"/><Relationship Id="rId10" Type="http://schemas.openxmlformats.org/officeDocument/2006/relationships/hyperlink" Target="http://www.dallasnews.com/business/retail/20111207-j.c.-penney-buys-stake-in-martha-stewarts-company.ece" TargetMode="External"/><Relationship Id="rId4" Type="http://schemas.openxmlformats.org/officeDocument/2006/relationships/hyperlink" Target="http://www.pearsoncustom.com/mct-comprehensive/asset.php?isbn=1269879944&amp;id=11766" TargetMode="External"/><Relationship Id="rId9" Type="http://schemas.openxmlformats.org/officeDocument/2006/relationships/hyperlink" Target="http://www.consumerpsychologist.com/intro_Distribu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2018-07-29T01:38:00Z</dcterms:created>
  <dcterms:modified xsi:type="dcterms:W3CDTF">2018-07-29T01:38:00Z</dcterms:modified>
</cp:coreProperties>
</file>