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D8" w:rsidRDefault="00C561D8" w:rsidP="00C561D8">
      <w:pPr>
        <w:pStyle w:val="Heading1"/>
      </w:pPr>
      <w:r>
        <w:t>DIFFERENTIAL PARTICIPATION IN FORMATIVE ASSESSMENT AND ACHIEVEMENT IN INTRODUCTORY CALCULUS</w:t>
      </w:r>
    </w:p>
    <w:p w:rsidR="00C561D8" w:rsidRPr="00BD178E" w:rsidRDefault="00C561D8" w:rsidP="00C561D8">
      <w:pPr>
        <w:jc w:val="center"/>
        <w:rPr>
          <w:u w:val="single"/>
        </w:rPr>
      </w:pPr>
      <w:r w:rsidRPr="00BD178E">
        <w:rPr>
          <w:u w:val="single"/>
        </w:rPr>
        <w:t>Rebecca-Anne Dibbs</w:t>
      </w:r>
    </w:p>
    <w:p w:rsidR="003D7154" w:rsidRDefault="00C561D8" w:rsidP="003D7154">
      <w:pPr>
        <w:jc w:val="center"/>
      </w:pPr>
      <w:r>
        <w:t>Texas A&amp;M University-Commerce</w:t>
      </w:r>
    </w:p>
    <w:p w:rsidR="00233322" w:rsidRDefault="00C561D8" w:rsidP="00233322">
      <w:pPr>
        <w:rPr>
          <w:i/>
          <w:iCs/>
        </w:rPr>
      </w:pPr>
      <w:r w:rsidRPr="00C561D8">
        <w:rPr>
          <w:i/>
          <w:iCs/>
        </w:rPr>
        <w:t xml:space="preserve">Prior formative assessment research has shown positive achievement gains when classes using formative assessment are compared to classes that do not. However, little is known about what, if any, benefits of formative assessment occur within a class. The purpose of this study was to investigate the achievement of the students in introductory calculus using formative assessment at the two different participation levels observed in class. Although there was no significant difference on any demographic variable other than gender and no significant difference in any achievement predictive variables between the groups of students at the different participation levels, regular participation in formative assessment was the most significant predictor of achievement in the </w:t>
      </w:r>
      <w:r w:rsidR="00781EFE">
        <w:rPr>
          <w:i/>
          <w:iCs/>
        </w:rPr>
        <w:t>hierarchical linear model</w:t>
      </w:r>
      <w:r w:rsidRPr="00C561D8">
        <w:rPr>
          <w:i/>
          <w:iCs/>
        </w:rPr>
        <w:t>.</w:t>
      </w:r>
    </w:p>
    <w:p w:rsidR="00F06011" w:rsidRPr="00F06011" w:rsidRDefault="00F06011" w:rsidP="00233322">
      <w:pPr>
        <w:rPr>
          <w:iCs/>
          <w:lang w:val="en-US"/>
        </w:rPr>
      </w:pPr>
      <w:r w:rsidRPr="00F06011">
        <w:rPr>
          <w:i/>
          <w:iCs/>
          <w:lang w:val="en-US"/>
        </w:rPr>
        <w:t>Key words:</w:t>
      </w:r>
      <w:r w:rsidRPr="00F06011">
        <w:rPr>
          <w:iCs/>
          <w:lang w:val="en-US"/>
        </w:rPr>
        <w:t xml:space="preserve"> approximation framework, calculus, formative assessment</w:t>
      </w:r>
      <w:r>
        <w:rPr>
          <w:iCs/>
          <w:lang w:val="en-US"/>
        </w:rPr>
        <w:t>,</w:t>
      </w:r>
      <w:r w:rsidR="00031C88" w:rsidRPr="00031C88">
        <w:rPr>
          <w:iCs/>
        </w:rPr>
        <w:t>hierarchical linear model</w:t>
      </w:r>
      <w:r w:rsidR="00031C88">
        <w:rPr>
          <w:iCs/>
          <w:lang w:val="en-US"/>
        </w:rPr>
        <w:t>,</w:t>
      </w:r>
      <w:r>
        <w:rPr>
          <w:iCs/>
          <w:lang w:val="en-US"/>
        </w:rPr>
        <w:t>participation</w:t>
      </w:r>
    </w:p>
    <w:p w:rsidR="00233322" w:rsidRDefault="00943879" w:rsidP="00233322">
      <w:pPr>
        <w:rPr>
          <w:b/>
        </w:rPr>
      </w:pPr>
      <w:r w:rsidRPr="00233322">
        <w:rPr>
          <w:b/>
        </w:rPr>
        <w:t>INTRODUCTION</w:t>
      </w:r>
    </w:p>
    <w:p w:rsidR="00EE01E7" w:rsidRDefault="00943879" w:rsidP="00EE01E7">
      <w:pPr>
        <w:rPr>
          <w:bCs/>
        </w:rPr>
      </w:pPr>
      <w:r w:rsidRPr="00233322">
        <w:rPr>
          <w:bCs/>
        </w:rPr>
        <w:t xml:space="preserve">Introductory calculus is one of the largest choke points for prospective undergraduates who wish to pursue STEM </w:t>
      </w:r>
      <w:r w:rsidR="00CF0312">
        <w:rPr>
          <w:bCs/>
        </w:rPr>
        <w:t xml:space="preserve">(Science, Technology, Engineering and Mathematics) </w:t>
      </w:r>
      <w:r w:rsidRPr="00233322">
        <w:rPr>
          <w:bCs/>
        </w:rPr>
        <w:t xml:space="preserve">careers.  </w:t>
      </w:r>
      <w:r w:rsidR="00D45E60" w:rsidRPr="00233322">
        <w:rPr>
          <w:bCs/>
        </w:rPr>
        <w:t>Students who leave STEM majors are very likely to do so during or immediately after the first semester of calculus (</w:t>
      </w:r>
      <w:r w:rsidR="00FC2A61" w:rsidRPr="00FC2A61">
        <w:rPr>
          <w:bCs/>
        </w:rPr>
        <w:t>Ellis, Kelton, &amp; Rasmussen, 2014; Rasmussen, Ellis, &amp; Zazkis, 2014</w:t>
      </w:r>
      <w:r w:rsidR="00D45E60" w:rsidRPr="00233322">
        <w:rPr>
          <w:bCs/>
        </w:rPr>
        <w:t xml:space="preserve">). </w:t>
      </w:r>
      <w:r w:rsidR="00C561D8" w:rsidRPr="00233322">
        <w:rPr>
          <w:bCs/>
        </w:rPr>
        <w:t xml:space="preserve">There are several reasons why introductory calculus is a particularly difficult course. The majority of students enrolled in calculus are first-time freshmen, and mathematics and science </w:t>
      </w:r>
      <w:r w:rsidR="00233322" w:rsidRPr="00233322">
        <w:rPr>
          <w:bCs/>
        </w:rPr>
        <w:t>classes are where students transitioning to higher education are most likely to struggle (</w:t>
      </w:r>
      <w:r w:rsidR="00687079" w:rsidRPr="00687079">
        <w:rPr>
          <w:bCs/>
        </w:rPr>
        <w:t>Cabrera, Miner, &amp; Milem, 2013; Waterson, Browne, &amp; Carnegie, 2013</w:t>
      </w:r>
      <w:r w:rsidR="00233322" w:rsidRPr="00687079">
        <w:rPr>
          <w:bCs/>
        </w:rPr>
        <w:t>). Furthermore</w:t>
      </w:r>
      <w:r w:rsidR="00233322" w:rsidRPr="00233322">
        <w:rPr>
          <w:bCs/>
        </w:rPr>
        <w:t xml:space="preserve">, the students most likely to leave STEM majors after calculus are from groups that are underrepresented in STEM areas: women, </w:t>
      </w:r>
      <w:r w:rsidR="00233322">
        <w:rPr>
          <w:bCs/>
        </w:rPr>
        <w:t>first generation college students, E</w:t>
      </w:r>
      <w:r w:rsidR="00EE01E7">
        <w:rPr>
          <w:bCs/>
        </w:rPr>
        <w:t>nglish-language-learning</w:t>
      </w:r>
      <w:r w:rsidR="00233322">
        <w:rPr>
          <w:bCs/>
        </w:rPr>
        <w:t xml:space="preserve"> students, and students from </w:t>
      </w:r>
      <w:r w:rsidR="001D1982">
        <w:rPr>
          <w:bCs/>
        </w:rPr>
        <w:t xml:space="preserve">underfunded </w:t>
      </w:r>
      <w:r w:rsidR="00233322">
        <w:rPr>
          <w:bCs/>
        </w:rPr>
        <w:t>urban and rural high schools (</w:t>
      </w:r>
      <w:r w:rsidR="00687079" w:rsidRPr="00687079">
        <w:rPr>
          <w:bCs/>
        </w:rPr>
        <w:t>Sperry, 2014; Waterson, Browne, &amp; Carnegie, 2013</w:t>
      </w:r>
      <w:r w:rsidR="00233322">
        <w:rPr>
          <w:bCs/>
        </w:rPr>
        <w:t>).</w:t>
      </w:r>
    </w:p>
    <w:p w:rsidR="00F07565" w:rsidRDefault="00F07565" w:rsidP="00EE01E7">
      <w:pPr>
        <w:rPr>
          <w:bCs/>
        </w:rPr>
      </w:pPr>
      <w:r>
        <w:rPr>
          <w:bCs/>
        </w:rPr>
        <w:t>One study found that switchers were less likely to feel a sense of  connection with their instructors (</w:t>
      </w:r>
      <w:r w:rsidR="00FC2A61" w:rsidRPr="00FC2A61">
        <w:rPr>
          <w:bCs/>
        </w:rPr>
        <w:t>Ellis, Kelton, &amp; Rasmussen, 2014</w:t>
      </w:r>
      <w:r>
        <w:rPr>
          <w:bCs/>
        </w:rPr>
        <w:t>), which suggests that the increased use of formative assessment, low stakes assignments for instructional planning purposes, may help to increase the number of prospective students in STEM majors past the first semester. The use of formative assessment with undergraduates appears to increase students’ perception of a positive relationship with their instructor, make students more likely  to seek help, and allows instructors to make data-based decisions on how much review instruction can/should be incorporated into a particular un</w:t>
      </w:r>
      <w:r w:rsidR="00A329BF">
        <w:rPr>
          <w:bCs/>
        </w:rPr>
        <w:t>i</w:t>
      </w:r>
      <w:r>
        <w:rPr>
          <w:bCs/>
        </w:rPr>
        <w:t>t (</w:t>
      </w:r>
      <w:r w:rsidR="00B7564E">
        <w:rPr>
          <w:bCs/>
        </w:rPr>
        <w:t xml:space="preserve">Black &amp; Wiliam, 2009; </w:t>
      </w:r>
      <w:r w:rsidRPr="00687079">
        <w:rPr>
          <w:bCs/>
        </w:rPr>
        <w:t>Dibbs, 2014</w:t>
      </w:r>
      <w:r>
        <w:rPr>
          <w:bCs/>
        </w:rPr>
        <w:t>).</w:t>
      </w:r>
      <w:r w:rsidR="00CF0312">
        <w:rPr>
          <w:bCs/>
        </w:rPr>
        <w:t xml:space="preserve"> For the purposes of this study, </w:t>
      </w:r>
      <w:r w:rsidR="00CF0312">
        <w:rPr>
          <w:bCs/>
        </w:rPr>
        <w:lastRenderedPageBreak/>
        <w:t>formative assessments are defined to be written assignments graded on completion for the purposes of instructor planning.</w:t>
      </w:r>
    </w:p>
    <w:p w:rsidR="00943879" w:rsidRPr="00EE01E7" w:rsidRDefault="00943879" w:rsidP="00EE01E7">
      <w:r w:rsidRPr="00943879">
        <w:t>Regardless of the content area or age of participants, the effect size on most quantitative formative assessment studies is around 0.5 (</w:t>
      </w:r>
      <w:r w:rsidRPr="00B7564E">
        <w:t>Briggs, Ruiz-Primo, Furtak, Shepard, &amp; Yin, in press; Karpinski &amp; D’Agostino, 2012</w:t>
      </w:r>
      <w:r w:rsidRPr="00943879">
        <w:t xml:space="preserve">). These studies show that classes where formative assessment is used do better on average on common summative assessments than those classes where no formative assessment is used; however, even in classes where formative assessment is used, not all students will regularly complete the formative assignments. The purpose of this study was to </w:t>
      </w:r>
      <w:r w:rsidRPr="00EE01E7">
        <w:t xml:space="preserve">investigate the influence of participation on students’ </w:t>
      </w:r>
      <w:r w:rsidR="00D728FD">
        <w:t>growth</w:t>
      </w:r>
      <w:r w:rsidRPr="00EE01E7">
        <w:t xml:space="preserve"> trajectories on calculus labs designed to develop systematic understanding of limit concepts. </w:t>
      </w:r>
      <w:r w:rsidR="00D728FD">
        <w:t>Growth can be measured in either student achievement or increases in students’ conceptual understanding. Th</w:t>
      </w:r>
      <w:r w:rsidR="00A329BF">
        <w:t>eanalysis</w:t>
      </w:r>
      <w:r w:rsidR="00D728FD">
        <w:t xml:space="preserve"> was delimited to the achievement definition of growth, though qualitative investigations of students</w:t>
      </w:r>
      <w:r w:rsidR="00C141DE">
        <w:t>’</w:t>
      </w:r>
      <w:r w:rsidR="00D728FD">
        <w:t xml:space="preserve"> conceptual growth of the approximation framework also showed </w:t>
      </w:r>
      <w:r w:rsidR="00A329BF">
        <w:t xml:space="preserve">that regular participants appropriated nearly </w:t>
      </w:r>
      <w:r w:rsidR="00C141DE">
        <w:t>all</w:t>
      </w:r>
      <w:r w:rsidR="00A329BF">
        <w:t xml:space="preserve"> limit concepts embedded in the approximation framework while the irregular participants showed little conceptual acquisition beyond procedural fluency</w:t>
      </w:r>
      <w:r w:rsidR="00D728FD">
        <w:t xml:space="preserve"> (Dibbs, 2014). </w:t>
      </w:r>
      <w:r w:rsidRPr="00EE01E7">
        <w:t xml:space="preserve">For this paper, </w:t>
      </w:r>
      <w:r w:rsidR="00C141DE">
        <w:t>I</w:t>
      </w:r>
      <w:r w:rsidRPr="00EE01E7">
        <w:t xml:space="preserve"> will distinguish between two different participation levels: regular and irregular. Students regularly participating in the formative assessments missed no more than </w:t>
      </w:r>
      <w:r w:rsidR="0001502B">
        <w:t>two of 12</w:t>
      </w:r>
      <w:r w:rsidRPr="00EE01E7">
        <w:t xml:space="preserve"> formative assessments during the semester. </w:t>
      </w:r>
      <w:r w:rsidR="00796A11">
        <w:t>Although the regular participants earned significantly higher grades on the calculus limit labs, there were students that earned every possible final grade in each participation level.</w:t>
      </w:r>
    </w:p>
    <w:p w:rsidR="00943879" w:rsidRDefault="00943879" w:rsidP="00943879">
      <w:pPr>
        <w:pStyle w:val="Heading2"/>
      </w:pPr>
      <w:r>
        <w:t>METHODS</w:t>
      </w:r>
    </w:p>
    <w:p w:rsidR="00D97DAD" w:rsidRDefault="00D97DAD" w:rsidP="003613F6">
      <w:pPr>
        <w:autoSpaceDE/>
        <w:autoSpaceDN/>
        <w:rPr>
          <w:color w:val="000000"/>
          <w:lang w:val="en-US"/>
        </w:rPr>
      </w:pPr>
      <w:r>
        <w:rPr>
          <w:color w:val="000000"/>
          <w:lang w:val="en-US"/>
        </w:rPr>
        <w:t xml:space="preserve">This study is part of a larger QUAL-quan mixed methods case study (Dibbs, 2014). </w:t>
      </w:r>
      <w:r w:rsidR="00D45E60" w:rsidRPr="00D45E60">
        <w:rPr>
          <w:color w:val="000000"/>
          <w:lang w:val="en-US"/>
        </w:rPr>
        <w:t>Participants were recruited from two introductory calculus courses taught using the approximation framework</w:t>
      </w:r>
      <w:r w:rsidR="00687079">
        <w:rPr>
          <w:color w:val="000000"/>
          <w:lang w:val="en-US"/>
        </w:rPr>
        <w:t xml:space="preserve"> at a midsized doctoral granting institution in the Rocky Mountain region</w:t>
      </w:r>
      <w:r w:rsidR="00D45E60" w:rsidRPr="00D45E60">
        <w:rPr>
          <w:color w:val="000000"/>
          <w:lang w:val="en-US"/>
        </w:rPr>
        <w:t xml:space="preserve">. </w:t>
      </w:r>
      <w:r w:rsidR="00C341BF">
        <w:rPr>
          <w:color w:val="000000"/>
          <w:lang w:val="en-US"/>
        </w:rPr>
        <w:t>The students enrolled in introductory calculus are most commonly chemistry, science education, mathematics education, or mathematics major, and 35% of the students at the University are first generation college students.</w:t>
      </w:r>
      <w:r>
        <w:rPr>
          <w:color w:val="000000"/>
          <w:lang w:val="en-US"/>
        </w:rPr>
        <w:t xml:space="preserve"> There were three sources of data collected: students’ assignments, classroom observations, and interviews. The qualitative analysis consisted of daily classroom observations and student interviews. During classroom observations of labs, three of the eight groups in each class were closely observed for peer and instructor interaction: </w:t>
      </w:r>
      <w:r w:rsidR="003F308B">
        <w:rPr>
          <w:color w:val="000000"/>
          <w:lang w:val="en-US"/>
        </w:rPr>
        <w:t>three</w:t>
      </w:r>
      <w:r>
        <w:rPr>
          <w:color w:val="000000"/>
          <w:lang w:val="en-US"/>
        </w:rPr>
        <w:t xml:space="preserve"> group</w:t>
      </w:r>
      <w:r w:rsidR="003F308B">
        <w:rPr>
          <w:color w:val="000000"/>
          <w:lang w:val="en-US"/>
        </w:rPr>
        <w:t>s</w:t>
      </w:r>
      <w:r>
        <w:rPr>
          <w:color w:val="000000"/>
          <w:lang w:val="en-US"/>
        </w:rPr>
        <w:t xml:space="preserve"> of regular participants, </w:t>
      </w:r>
      <w:r w:rsidR="003F308B">
        <w:rPr>
          <w:color w:val="000000"/>
          <w:lang w:val="en-US"/>
        </w:rPr>
        <w:t xml:space="preserve">two </w:t>
      </w:r>
      <w:r>
        <w:rPr>
          <w:color w:val="000000"/>
          <w:lang w:val="en-US"/>
        </w:rPr>
        <w:t>mixed group</w:t>
      </w:r>
      <w:r w:rsidR="003F308B">
        <w:rPr>
          <w:color w:val="000000"/>
          <w:lang w:val="en-US"/>
        </w:rPr>
        <w:t>s</w:t>
      </w:r>
      <w:r>
        <w:rPr>
          <w:color w:val="000000"/>
          <w:lang w:val="en-US"/>
        </w:rPr>
        <w:t xml:space="preserve">, and one group of </w:t>
      </w:r>
      <w:r w:rsidR="003F308B">
        <w:rPr>
          <w:color w:val="000000"/>
          <w:lang w:val="en-US"/>
        </w:rPr>
        <w:t>irregular</w:t>
      </w:r>
      <w:r>
        <w:rPr>
          <w:color w:val="000000"/>
          <w:lang w:val="en-US"/>
        </w:rPr>
        <w:t xml:space="preserve"> participants</w:t>
      </w:r>
      <w:r w:rsidR="003F308B">
        <w:rPr>
          <w:color w:val="000000"/>
          <w:lang w:val="en-US"/>
        </w:rPr>
        <w:t xml:space="preserve">. </w:t>
      </w:r>
      <w:r w:rsidR="00DD2CA4">
        <w:rPr>
          <w:color w:val="000000"/>
          <w:lang w:val="en-US"/>
        </w:rPr>
        <w:t xml:space="preserve">During non-lab class days, the instructor’s interaction with the class and students’ behavior was observed, with particular attention paid to the students observed during labs. After each lab, nine students (both of the mixed participation groups and one regular participation group) were interviewed about their lab write-ups using a cognitive think aloud technique. Students were given a clean copy of their lab and asked to explain each of their answers, who if anyone helped them figure out that particular portion of the lab, and if they would change their answer now; these qualitative data were analyzed to understand students’ conceptual growth throughout </w:t>
      </w:r>
      <w:r w:rsidR="00DD2CA4">
        <w:rPr>
          <w:color w:val="000000"/>
          <w:lang w:val="en-US"/>
        </w:rPr>
        <w:lastRenderedPageBreak/>
        <w:t xml:space="preserve">the semester (Dibbs, 2014). The observations and interviews showed that there was some peer instruction during the labs, but most of the time, irregular participants only consistently understood the </w:t>
      </w:r>
      <w:r w:rsidR="009D286E">
        <w:rPr>
          <w:color w:val="000000"/>
          <w:lang w:val="en-US"/>
        </w:rPr>
        <w:t>procedural computations portion</w:t>
      </w:r>
      <w:r w:rsidR="00DD2CA4">
        <w:rPr>
          <w:color w:val="000000"/>
          <w:lang w:val="en-US"/>
        </w:rPr>
        <w:t xml:space="preserve"> of the lab. All assignments generated by each participant were collected for the quantitative analysis.</w:t>
      </w:r>
    </w:p>
    <w:p w:rsidR="0001502B" w:rsidRDefault="0052498B" w:rsidP="003613F6">
      <w:pPr>
        <w:autoSpaceDE/>
        <w:autoSpaceDN/>
        <w:rPr>
          <w:color w:val="000000"/>
          <w:lang w:val="en-US"/>
        </w:rPr>
      </w:pPr>
      <w:r>
        <w:rPr>
          <w:color w:val="000000"/>
          <w:lang w:val="en-US"/>
        </w:rPr>
        <w:t xml:space="preserve">Introductory calculus is a four credit course </w:t>
      </w:r>
      <w:r w:rsidR="00DB3935">
        <w:rPr>
          <w:color w:val="000000"/>
          <w:lang w:val="en-US"/>
        </w:rPr>
        <w:t xml:space="preserve">that met Monday, Tuesday, Wednesday and Friday. The course begins with a brief pre-calculus review and ends with The Fundamental Theorem of Calculus and u-substitution. </w:t>
      </w:r>
      <w:r w:rsidR="00C141DE">
        <w:rPr>
          <w:color w:val="000000"/>
          <w:lang w:val="en-US"/>
        </w:rPr>
        <w:t>Students’ grade in the course was determined by online homework (10%), labs (20%), formative assessments (5%), three in-class exams (15% each), and a final exam (20%).</w:t>
      </w:r>
      <w:r w:rsidR="00DB3935">
        <w:rPr>
          <w:color w:val="000000"/>
          <w:lang w:val="en-US"/>
        </w:rPr>
        <w:t xml:space="preserve">Every week followed the same general schedule. </w:t>
      </w:r>
      <w:r w:rsidR="00C341BF">
        <w:rPr>
          <w:color w:val="000000"/>
          <w:lang w:val="en-US"/>
        </w:rPr>
        <w:t xml:space="preserve">On Monday, there was a new section of material introduced and students were given a prelab. </w:t>
      </w:r>
      <w:r w:rsidR="0001502B">
        <w:rPr>
          <w:color w:val="000000"/>
          <w:lang w:val="en-US"/>
        </w:rPr>
        <w:t>Students were asked</w:t>
      </w:r>
      <w:r w:rsidR="00CF0312">
        <w:rPr>
          <w:color w:val="000000"/>
          <w:lang w:val="en-US"/>
        </w:rPr>
        <w:t xml:space="preserve"> to complete the Unknown Value </w:t>
      </w:r>
      <w:r w:rsidR="0001502B">
        <w:rPr>
          <w:color w:val="000000"/>
          <w:lang w:val="en-US"/>
        </w:rPr>
        <w:t xml:space="preserve">portion </w:t>
      </w:r>
      <w:r w:rsidR="00CF0312">
        <w:rPr>
          <w:color w:val="000000"/>
          <w:lang w:val="en-US"/>
        </w:rPr>
        <w:t xml:space="preserve">of the approximation framework (Figure 1) and identify a quantity </w:t>
      </w:r>
      <w:r w:rsidR="0001502B">
        <w:rPr>
          <w:color w:val="000000"/>
          <w:lang w:val="en-US"/>
        </w:rPr>
        <w:t xml:space="preserve">with which </w:t>
      </w:r>
      <w:r w:rsidR="00CF0312">
        <w:rPr>
          <w:color w:val="000000"/>
          <w:lang w:val="en-US"/>
        </w:rPr>
        <w:t xml:space="preserve">to approximate the unknown value. </w:t>
      </w:r>
      <w:r w:rsidR="00C341BF">
        <w:rPr>
          <w:color w:val="000000"/>
          <w:lang w:val="en-US"/>
        </w:rPr>
        <w:t>Students were asked to complete the prelab before class on Tuesday; the prelab was graded on completion at the beginning of class. During class on Tuesday, students worked in groups of three or four on their assigned lab context. After class, students completed a postlab using the online course management software. Each postlab asked students to summarize what their groups did, evaluate how well they understood the material, perform a computation similar to the ones expected on the lab</w:t>
      </w:r>
      <w:r w:rsidR="00D35FC8">
        <w:rPr>
          <w:color w:val="000000"/>
          <w:lang w:val="en-US"/>
        </w:rPr>
        <w:t xml:space="preserve">, and identify which portions of the lab they still needed help on. </w:t>
      </w:r>
      <w:r w:rsidR="00D728FD">
        <w:rPr>
          <w:color w:val="000000"/>
          <w:lang w:val="en-US"/>
        </w:rPr>
        <w:t xml:space="preserve">The post-lab was graded on completion, and instructors used students’ answers to plan a 20 minute discussion about the lab to begin that class Wednesday. </w:t>
      </w:r>
    </w:p>
    <w:p w:rsidR="00966BF3" w:rsidRDefault="00D728FD" w:rsidP="003613F6">
      <w:pPr>
        <w:autoSpaceDE/>
        <w:autoSpaceDN/>
        <w:rPr>
          <w:color w:val="000000"/>
          <w:lang w:val="en-US"/>
        </w:rPr>
      </w:pPr>
      <w:r>
        <w:rPr>
          <w:color w:val="000000"/>
          <w:lang w:val="en-US"/>
        </w:rPr>
        <w:t xml:space="preserve">Although the postlab completion grade was 5% of the students’ final grades, the primary purpose of the assignment was to evaluate students’ current understandings and plan the next class effectively; in that sense the postlab was primarily a formative assessment. </w:t>
      </w:r>
      <w:r w:rsidR="00651B88">
        <w:rPr>
          <w:color w:val="000000"/>
          <w:lang w:val="en-US"/>
        </w:rPr>
        <w:t xml:space="preserve">Students were provided automated feedback through the CMS, and it took an average of 15 minutes/week to evaluate a classroom set of postlabs and plan the next class. </w:t>
      </w:r>
      <w:r w:rsidR="00D35FC8">
        <w:rPr>
          <w:color w:val="000000"/>
          <w:lang w:val="en-US"/>
        </w:rPr>
        <w:t xml:space="preserve">The remainder of the week was spent on concepts from the textbook. </w:t>
      </w:r>
      <w:r w:rsidR="00686071">
        <w:rPr>
          <w:color w:val="000000"/>
          <w:lang w:val="en-US"/>
        </w:rPr>
        <w:t>For the derivatives and definite integral labs, the</w:t>
      </w:r>
      <w:r w:rsidR="00D35FC8">
        <w:rPr>
          <w:color w:val="000000"/>
          <w:lang w:val="en-US"/>
        </w:rPr>
        <w:t xml:space="preserve"> next week would be a repeat of the first</w:t>
      </w:r>
      <w:r w:rsidR="00686071">
        <w:rPr>
          <w:color w:val="000000"/>
          <w:lang w:val="en-US"/>
        </w:rPr>
        <w:t>; all of the ot</w:t>
      </w:r>
      <w:r w:rsidR="00F70E4A">
        <w:rPr>
          <w:color w:val="000000"/>
          <w:lang w:val="en-US"/>
        </w:rPr>
        <w:t>her labs proceeded directly to the regrouping described next</w:t>
      </w:r>
      <w:r w:rsidR="00D35FC8">
        <w:rPr>
          <w:color w:val="000000"/>
          <w:lang w:val="en-US"/>
        </w:rPr>
        <w:t>. On the third week, students would be placed in new groups, where they were responsible for teaching their context to their new group members</w:t>
      </w:r>
      <w:r w:rsidR="00F70E4A">
        <w:rPr>
          <w:color w:val="000000"/>
          <w:lang w:val="en-US"/>
        </w:rPr>
        <w:t>; this type of presentation is called a Jigsaw presentation, because each student is responsible for one piece of a larger idea</w:t>
      </w:r>
      <w:r w:rsidR="00D35FC8">
        <w:rPr>
          <w:color w:val="000000"/>
          <w:lang w:val="en-US"/>
        </w:rPr>
        <w:t xml:space="preserve">. </w:t>
      </w:r>
      <w:r w:rsidR="00CF0312">
        <w:rPr>
          <w:color w:val="000000"/>
          <w:lang w:val="en-US"/>
        </w:rPr>
        <w:t>After this</w:t>
      </w:r>
      <w:r w:rsidR="00F70E4A">
        <w:rPr>
          <w:color w:val="000000"/>
          <w:lang w:val="en-US"/>
        </w:rPr>
        <w:t xml:space="preserve"> Jigsaw presentation</w:t>
      </w:r>
      <w:r w:rsidR="00CF0312">
        <w:rPr>
          <w:color w:val="000000"/>
          <w:lang w:val="en-US"/>
        </w:rPr>
        <w:t>, students were expected to write up their individual answers to the 20 parts of the approximation framework</w:t>
      </w:r>
      <w:r w:rsidR="00A329BF">
        <w:rPr>
          <w:color w:val="000000"/>
          <w:lang w:val="en-US"/>
        </w:rPr>
        <w:t>; this assignment was the summative assessment of each lab</w:t>
      </w:r>
      <w:r w:rsidR="00D35FC8">
        <w:rPr>
          <w:color w:val="000000"/>
          <w:lang w:val="en-US"/>
        </w:rPr>
        <w:t xml:space="preserve">. </w:t>
      </w:r>
      <w:r w:rsidR="00686071">
        <w:rPr>
          <w:color w:val="000000"/>
          <w:lang w:val="en-US"/>
        </w:rPr>
        <w:t xml:space="preserve">Each lab had one formative prelab and two or three postlabs associate with the </w:t>
      </w:r>
      <w:r w:rsidR="00A329BF">
        <w:rPr>
          <w:color w:val="000000"/>
          <w:lang w:val="en-US"/>
        </w:rPr>
        <w:t>summative lab writeup</w:t>
      </w:r>
      <w:r w:rsidR="00686071">
        <w:rPr>
          <w:color w:val="000000"/>
          <w:lang w:val="en-US"/>
        </w:rPr>
        <w:t>.</w:t>
      </w:r>
    </w:p>
    <w:p w:rsidR="0001502B" w:rsidRDefault="0001502B" w:rsidP="003613F6">
      <w:pPr>
        <w:autoSpaceDE/>
        <w:autoSpaceDN/>
        <w:rPr>
          <w:color w:val="000000"/>
          <w:lang w:val="en-US"/>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1710"/>
        <w:gridCol w:w="1971"/>
        <w:gridCol w:w="1971"/>
        <w:gridCol w:w="1971"/>
      </w:tblGrid>
      <w:tr w:rsidR="009D286E" w:rsidRPr="002F15F9" w:rsidTr="002F15F9">
        <w:tc>
          <w:tcPr>
            <w:tcW w:w="10071" w:type="dxa"/>
            <w:gridSpan w:val="5"/>
            <w:shd w:val="clear" w:color="auto" w:fill="auto"/>
          </w:tcPr>
          <w:p w:rsidR="009D286E" w:rsidRPr="002F15F9" w:rsidRDefault="009D286E" w:rsidP="002F15F9">
            <w:pPr>
              <w:autoSpaceDE/>
              <w:autoSpaceDN/>
              <w:rPr>
                <w:color w:val="000000"/>
                <w:sz w:val="24"/>
                <w:szCs w:val="24"/>
                <w:lang w:val="en-US"/>
              </w:rPr>
            </w:pPr>
            <w:r w:rsidRPr="009D286E">
              <w:rPr>
                <w:sz w:val="24"/>
                <w:szCs w:val="24"/>
                <w:lang w:val="en-US"/>
              </w:rPr>
              <w:t xml:space="preserve">Fluid traveling at a velocity </w:t>
            </w:r>
            <w:r w:rsidRPr="009D286E">
              <w:rPr>
                <w:i/>
                <w:sz w:val="24"/>
                <w:szCs w:val="24"/>
                <w:lang w:val="en-US"/>
              </w:rPr>
              <w:t>v</w:t>
            </w:r>
            <w:r w:rsidRPr="009D286E">
              <w:rPr>
                <w:sz w:val="24"/>
                <w:szCs w:val="24"/>
                <w:lang w:val="en-US"/>
              </w:rPr>
              <w:t xml:space="preserve"> across a surface area </w:t>
            </w:r>
            <w:r w:rsidRPr="009D286E">
              <w:rPr>
                <w:i/>
                <w:sz w:val="24"/>
                <w:szCs w:val="24"/>
                <w:lang w:val="en-US"/>
              </w:rPr>
              <w:t>A</w:t>
            </w:r>
            <w:r w:rsidRPr="009D286E">
              <w:rPr>
                <w:sz w:val="24"/>
                <w:szCs w:val="24"/>
                <w:lang w:val="en-US"/>
              </w:rPr>
              <w:t xml:space="preserve"> produces a flow rate of </w:t>
            </w:r>
            <w:r w:rsidR="002072E3" w:rsidRPr="002072E3">
              <w:rPr>
                <w:position w:val="-6"/>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v:imagedata r:id="rId8" o:title=""/>
                </v:shape>
              </w:pict>
            </w:r>
            <w:r w:rsidRPr="009D286E">
              <w:rPr>
                <w:sz w:val="24"/>
                <w:szCs w:val="24"/>
                <w:lang w:val="en-US"/>
              </w:rPr>
              <w:t xml:space="preserve">. Poiseuille’s law says that in a pipe of radius </w:t>
            </w:r>
            <w:r w:rsidRPr="009D286E">
              <w:rPr>
                <w:i/>
                <w:sz w:val="24"/>
                <w:szCs w:val="24"/>
                <w:lang w:val="en-US"/>
              </w:rPr>
              <w:t>R</w:t>
            </w:r>
            <w:r w:rsidRPr="009D286E">
              <w:rPr>
                <w:sz w:val="24"/>
                <w:szCs w:val="24"/>
                <w:lang w:val="en-US"/>
              </w:rPr>
              <w:t>, the viscosity of a fluid causes the velocity to decrease from a maximum at the center (</w:t>
            </w:r>
            <w:r w:rsidR="002072E3" w:rsidRPr="002072E3">
              <w:rPr>
                <w:position w:val="-6"/>
                <w:sz w:val="24"/>
                <w:szCs w:val="24"/>
                <w:lang w:val="en-US"/>
              </w:rPr>
              <w:pict>
                <v:shape id="_x0000_i1026" type="#_x0000_t75" style="width:27pt;height:14.25pt">
                  <v:imagedata r:id="rId9" o:title=""/>
                </v:shape>
              </w:pict>
            </w:r>
            <w:r w:rsidRPr="009D286E">
              <w:rPr>
                <w:sz w:val="24"/>
                <w:szCs w:val="24"/>
                <w:lang w:val="en-US"/>
              </w:rPr>
              <w:t>) to zero at the sides (</w:t>
            </w:r>
            <w:r w:rsidR="002072E3" w:rsidRPr="002072E3">
              <w:rPr>
                <w:position w:val="-4"/>
                <w:sz w:val="24"/>
                <w:szCs w:val="24"/>
                <w:lang w:val="en-US"/>
              </w:rPr>
              <w:pict>
                <v:shape id="_x0000_i1027" type="#_x0000_t75" style="width:29.25pt;height:12.75pt">
                  <v:imagedata r:id="rId10" o:title=""/>
                </v:shape>
              </w:pict>
            </w:r>
            <w:r w:rsidRPr="009D286E">
              <w:rPr>
                <w:sz w:val="24"/>
                <w:szCs w:val="24"/>
                <w:lang w:val="en-US"/>
              </w:rPr>
              <w:t xml:space="preserve">) according to the function </w:t>
            </w:r>
            <w:r w:rsidR="002072E3" w:rsidRPr="002072E3">
              <w:rPr>
                <w:position w:val="-32"/>
                <w:sz w:val="24"/>
                <w:szCs w:val="24"/>
                <w:lang w:val="en-US"/>
              </w:rPr>
              <w:pict>
                <v:shape id="_x0000_i1028" type="#_x0000_t75" style="width:81.75pt;height:38.25pt">
                  <v:imagedata r:id="rId11" o:title=""/>
                </v:shape>
              </w:pict>
            </w:r>
            <w:r w:rsidRPr="009D286E">
              <w:rPr>
                <w:sz w:val="24"/>
                <w:szCs w:val="24"/>
                <w:lang w:val="en-US"/>
              </w:rPr>
              <w:t xml:space="preserve">. In this activity you will approximate the rate that water flows in a 4-inch diameter pipe if </w:t>
            </w:r>
            <w:r w:rsidR="002072E3" w:rsidRPr="002072E3">
              <w:rPr>
                <w:position w:val="-12"/>
                <w:sz w:val="24"/>
                <w:szCs w:val="24"/>
                <w:lang w:val="en-US"/>
              </w:rPr>
              <w:pict>
                <v:shape id="_x0000_i1029" type="#_x0000_t75" style="width:54.75pt;height:18pt">
                  <v:imagedata r:id="rId12" o:title=""/>
                </v:shape>
              </w:pict>
            </w: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p>
        </w:tc>
        <w:tc>
          <w:tcPr>
            <w:tcW w:w="1710"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Contextual</w:t>
            </w:r>
          </w:p>
        </w:tc>
        <w:tc>
          <w:tcPr>
            <w:tcW w:w="1971"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Graphical</w:t>
            </w:r>
          </w:p>
        </w:tc>
        <w:tc>
          <w:tcPr>
            <w:tcW w:w="1971"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Algebraic</w:t>
            </w:r>
          </w:p>
        </w:tc>
        <w:tc>
          <w:tcPr>
            <w:tcW w:w="1971"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Numerical</w:t>
            </w: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Unknown Value</w:t>
            </w:r>
          </w:p>
        </w:tc>
        <w:tc>
          <w:tcPr>
            <w:tcW w:w="1710"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Approximation</w:t>
            </w:r>
          </w:p>
        </w:tc>
        <w:tc>
          <w:tcPr>
            <w:tcW w:w="1710"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Error</w:t>
            </w:r>
          </w:p>
        </w:tc>
        <w:tc>
          <w:tcPr>
            <w:tcW w:w="1710"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Error Bound</w:t>
            </w:r>
          </w:p>
        </w:tc>
        <w:tc>
          <w:tcPr>
            <w:tcW w:w="1710"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r>
      <w:tr w:rsidR="009D286E" w:rsidRPr="002F15F9" w:rsidTr="002F15F9">
        <w:tc>
          <w:tcPr>
            <w:tcW w:w="2448" w:type="dxa"/>
            <w:shd w:val="clear" w:color="auto" w:fill="auto"/>
          </w:tcPr>
          <w:p w:rsidR="009D286E" w:rsidRPr="002F15F9" w:rsidRDefault="009D286E" w:rsidP="002F15F9">
            <w:pPr>
              <w:autoSpaceDE/>
              <w:autoSpaceDN/>
              <w:rPr>
                <w:color w:val="000000"/>
                <w:sz w:val="24"/>
                <w:szCs w:val="24"/>
                <w:lang w:val="en-US"/>
              </w:rPr>
            </w:pPr>
            <w:r w:rsidRPr="002F15F9">
              <w:rPr>
                <w:color w:val="000000"/>
                <w:sz w:val="24"/>
                <w:szCs w:val="24"/>
                <w:lang w:val="en-US"/>
              </w:rPr>
              <w:t>Desired Accuracy</w:t>
            </w:r>
          </w:p>
        </w:tc>
        <w:tc>
          <w:tcPr>
            <w:tcW w:w="1710"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c>
          <w:tcPr>
            <w:tcW w:w="1971" w:type="dxa"/>
            <w:shd w:val="clear" w:color="auto" w:fill="auto"/>
          </w:tcPr>
          <w:p w:rsidR="009D286E" w:rsidRPr="002F15F9" w:rsidRDefault="009D286E" w:rsidP="002F15F9">
            <w:pPr>
              <w:autoSpaceDE/>
              <w:autoSpaceDN/>
              <w:rPr>
                <w:color w:val="000000"/>
                <w:sz w:val="24"/>
                <w:szCs w:val="24"/>
                <w:lang w:val="en-US"/>
              </w:rPr>
            </w:pPr>
          </w:p>
        </w:tc>
      </w:tr>
    </w:tbl>
    <w:p w:rsidR="00CF0312" w:rsidRPr="00CF0312" w:rsidRDefault="00CF0312" w:rsidP="003613F6">
      <w:pPr>
        <w:autoSpaceDE/>
        <w:autoSpaceDN/>
        <w:rPr>
          <w:b/>
          <w:bCs/>
          <w:color w:val="000000"/>
          <w:lang w:val="en-US"/>
        </w:rPr>
      </w:pPr>
      <w:r w:rsidRPr="00515E02">
        <w:rPr>
          <w:b/>
          <w:bCs/>
          <w:lang w:val="en-US"/>
        </w:rPr>
        <w:t>Figure 1</w:t>
      </w:r>
      <w:r>
        <w:rPr>
          <w:b/>
          <w:bCs/>
          <w:lang w:val="en-US"/>
        </w:rPr>
        <w:t>:</w:t>
      </w:r>
      <w:r w:rsidR="009D286E">
        <w:rPr>
          <w:b/>
          <w:bCs/>
          <w:lang w:val="en-US"/>
        </w:rPr>
        <w:t>Definite Integral Lab task and approximation framework</w:t>
      </w:r>
    </w:p>
    <w:p w:rsidR="00C141DE" w:rsidRDefault="00D45E60" w:rsidP="003613F6">
      <w:pPr>
        <w:autoSpaceDE/>
        <w:autoSpaceDN/>
        <w:rPr>
          <w:color w:val="000000"/>
          <w:lang w:val="en-US"/>
        </w:rPr>
      </w:pPr>
      <w:r w:rsidRPr="00D45E60">
        <w:rPr>
          <w:color w:val="000000"/>
          <w:lang w:val="en-US"/>
        </w:rPr>
        <w:t>T</w:t>
      </w:r>
      <w:r w:rsidR="00966BF3">
        <w:rPr>
          <w:color w:val="000000"/>
          <w:lang w:val="en-US"/>
        </w:rPr>
        <w:t>he approximation</w:t>
      </w:r>
      <w:r w:rsidRPr="00D45E60">
        <w:rPr>
          <w:color w:val="000000"/>
          <w:lang w:val="en-US"/>
        </w:rPr>
        <w:t xml:space="preserve"> framework is built upon developing systematic reasoning about conceptually accessible approximations and error analyses but mirroring the rigorous structure of formal limit definitions and arguments </w:t>
      </w:r>
      <w:r w:rsidRPr="00D45E60">
        <w:rPr>
          <w:lang w:val="en-US"/>
        </w:rPr>
        <w:t>(Oehrtman, 2008, 2009).</w:t>
      </w:r>
      <w:r w:rsidR="00A329BF">
        <w:rPr>
          <w:lang w:val="en-US"/>
        </w:rPr>
        <w:t xml:space="preserve"> Approximation is the most common </w:t>
      </w:r>
      <w:r w:rsidR="001D1982">
        <w:rPr>
          <w:lang w:val="en-US"/>
        </w:rPr>
        <w:t xml:space="preserve">of the seven </w:t>
      </w:r>
      <w:r w:rsidR="00A329BF">
        <w:rPr>
          <w:lang w:val="en-US"/>
        </w:rPr>
        <w:t>informal understanding</w:t>
      </w:r>
      <w:r w:rsidR="001D1982">
        <w:rPr>
          <w:lang w:val="en-US"/>
        </w:rPr>
        <w:t>s</w:t>
      </w:r>
      <w:r w:rsidR="00A329BF">
        <w:rPr>
          <w:lang w:val="en-US"/>
        </w:rPr>
        <w:t xml:space="preserve"> of the definition of a limit; by incorporating the approximation labs into the curriculum, all students are trained to conceptualize limits in the same manner; this makes the </w:t>
      </w:r>
      <w:r w:rsidR="001D1982">
        <w:rPr>
          <w:lang w:val="en-US"/>
        </w:rPr>
        <w:t>transition for formal calculus topics easier for both students and instructors (Oehrtman, 2009).</w:t>
      </w:r>
    </w:p>
    <w:p w:rsidR="003C414A" w:rsidRDefault="006212EC" w:rsidP="003613F6">
      <w:pPr>
        <w:autoSpaceDE/>
        <w:autoSpaceDN/>
        <w:rPr>
          <w:color w:val="000000"/>
          <w:lang w:val="en-US"/>
        </w:rPr>
      </w:pPr>
      <w:r>
        <w:rPr>
          <w:color w:val="000000"/>
          <w:lang w:val="en-US"/>
        </w:rPr>
        <w:t xml:space="preserve">For each calculus concept, students are asked to identify the unknown value that cannot be solved with algebra, an algebraic technique for approximating the unknown, quantify the error, bound the error, and describe how an approximation can be computed to any desired accuracy. </w:t>
      </w:r>
      <w:r w:rsidR="00C141DE">
        <w:rPr>
          <w:color w:val="000000"/>
          <w:lang w:val="en-US"/>
        </w:rPr>
        <w:t xml:space="preserve">Although the context (and calculus context) changed with each lab, students were asked the same questions on each lab; hence, the labs may be considered repeated assessments on the approximation framework concepts since the process was identical on each lab once the appropriate approximation had been determined. </w:t>
      </w:r>
      <w:r>
        <w:rPr>
          <w:color w:val="000000"/>
          <w:lang w:val="en-US"/>
        </w:rPr>
        <w:t>Students are asked to represent these five components of the approximation framework contextually (words and pictures), graphically, algebraically, and numerically</w:t>
      </w:r>
      <w:r w:rsidR="00D45E60" w:rsidRPr="00D45E60">
        <w:rPr>
          <w:color w:val="000000"/>
          <w:lang w:val="en-US"/>
        </w:rPr>
        <w:t>.</w:t>
      </w:r>
      <w:r w:rsidR="00CF0312">
        <w:rPr>
          <w:color w:val="000000"/>
          <w:lang w:val="en-US"/>
        </w:rPr>
        <w:t>Each lab had three or four different contexts; one of which was more challenging and intended for students that had seen calculus before.</w:t>
      </w:r>
      <w:r w:rsidR="00B64C0C">
        <w:rPr>
          <w:color w:val="000000"/>
          <w:lang w:val="en-US"/>
        </w:rPr>
        <w:t xml:space="preserve"> While there is a lab every week, this research was delimited to the approximation framework labs dealing with limits, derivatives, and definite integrals. These labs accounted for 10/14 lab sessions in the semester and contained topics common to all introductory calculus courses. The remaining labs dealt with practice on applications of derivatives: Taylor polynomials, optimization,</w:t>
      </w:r>
      <w:r w:rsidR="003C414A">
        <w:rPr>
          <w:color w:val="000000"/>
          <w:lang w:val="en-US"/>
        </w:rPr>
        <w:t xml:space="preserve"> and</w:t>
      </w:r>
      <w:r w:rsidR="00B64C0C">
        <w:rPr>
          <w:color w:val="000000"/>
          <w:lang w:val="en-US"/>
        </w:rPr>
        <w:t xml:space="preserve"> related rates</w:t>
      </w:r>
      <w:r w:rsidR="003C414A">
        <w:rPr>
          <w:color w:val="000000"/>
          <w:lang w:val="en-US"/>
        </w:rPr>
        <w:t>. There was also a lab before limits on quantitative reasoning that was not considered due to its low reliability.</w:t>
      </w:r>
    </w:p>
    <w:p w:rsidR="00D45E60" w:rsidRPr="00D45E60" w:rsidRDefault="00D45E60" w:rsidP="003613F6">
      <w:pPr>
        <w:autoSpaceDE/>
        <w:autoSpaceDN/>
        <w:rPr>
          <w:color w:val="000000"/>
          <w:lang w:val="en-US"/>
        </w:rPr>
      </w:pPr>
      <w:r w:rsidRPr="00D45E60">
        <w:rPr>
          <w:color w:val="000000"/>
          <w:lang w:val="en-US"/>
        </w:rPr>
        <w:t xml:space="preserve">The courses were taught at the same time and on the same schedule by two equally experienced instructors. All of the lab questions were scored dichotomously so the inter-rater reliability </w:t>
      </w:r>
      <w:r w:rsidR="0092709A">
        <w:rPr>
          <w:color w:val="000000"/>
          <w:lang w:val="en-US"/>
        </w:rPr>
        <w:t>of the lab write-ups was not a concern</w:t>
      </w:r>
      <w:r w:rsidRPr="00D45E60">
        <w:rPr>
          <w:color w:val="000000"/>
          <w:lang w:val="en-US"/>
        </w:rPr>
        <w:t xml:space="preserve">.  The content validity of the assessments was checked by the course coordinator and an additional expert on the approximation framework. </w:t>
      </w:r>
      <w:r w:rsidR="008D2E81">
        <w:rPr>
          <w:color w:val="000000"/>
          <w:lang w:val="en-US"/>
        </w:rPr>
        <w:t>Since the labs were scored dichotomously, KR-20 wa</w:t>
      </w:r>
      <w:r w:rsidR="0001502B">
        <w:rPr>
          <w:color w:val="000000"/>
          <w:lang w:val="en-US"/>
        </w:rPr>
        <w:t>s used to calculate reliability, and a</w:t>
      </w:r>
      <w:r w:rsidRPr="00D45E60">
        <w:rPr>
          <w:color w:val="000000"/>
          <w:lang w:val="en-US"/>
        </w:rPr>
        <w:t xml:space="preserve">ll assessments had reliabilities within acceptable </w:t>
      </w:r>
      <w:r w:rsidRPr="00D45E60">
        <w:rPr>
          <w:lang w:val="en-US"/>
        </w:rPr>
        <w:t>levels (Gall, Gall &amp; Borg, 2007): the limit, derivative, and definite integral labs had KR-20 values of 0.83, 0.72, and 0.78 respectively</w:t>
      </w:r>
      <w:r w:rsidRPr="00D45E60">
        <w:rPr>
          <w:color w:val="000000"/>
          <w:lang w:val="en-US"/>
        </w:rPr>
        <w:t xml:space="preserve">. </w:t>
      </w:r>
    </w:p>
    <w:p w:rsidR="00D45E60" w:rsidRPr="00D45E60" w:rsidRDefault="00D45E60" w:rsidP="003613F6">
      <w:pPr>
        <w:autoSpaceDE/>
        <w:autoSpaceDN/>
        <w:rPr>
          <w:color w:val="000000"/>
          <w:lang w:val="en-US"/>
        </w:rPr>
      </w:pPr>
      <w:r w:rsidRPr="00D45E60">
        <w:rPr>
          <w:color w:val="000000"/>
          <w:lang w:val="en-US"/>
        </w:rPr>
        <w:t>In addition to p</w:t>
      </w:r>
      <w:r w:rsidR="003C414A">
        <w:rPr>
          <w:color w:val="000000"/>
          <w:lang w:val="en-US"/>
        </w:rPr>
        <w:t xml:space="preserve">articipants’ lab write-ups, grade predicative variables </w:t>
      </w:r>
      <w:r w:rsidRPr="00D45E60">
        <w:rPr>
          <w:color w:val="000000"/>
          <w:lang w:val="en-US"/>
        </w:rPr>
        <w:t>and demographic information w</w:t>
      </w:r>
      <w:r w:rsidR="003C414A">
        <w:rPr>
          <w:color w:val="000000"/>
          <w:lang w:val="en-US"/>
        </w:rPr>
        <w:t>ere</w:t>
      </w:r>
      <w:r w:rsidRPr="00D45E60">
        <w:rPr>
          <w:color w:val="000000"/>
          <w:lang w:val="en-US"/>
        </w:rPr>
        <w:t xml:space="preserve"> collected from each participant. There were no significant differences between the sporadic and non-participation groups on all but one of the demographic or grade predictive variables tested (</w:t>
      </w:r>
      <w:r w:rsidRPr="00D45E60">
        <w:rPr>
          <w:i/>
          <w:color w:val="000000"/>
          <w:lang w:val="en-US"/>
        </w:rPr>
        <w:t>p</w:t>
      </w:r>
      <w:r w:rsidRPr="00D45E60">
        <w:rPr>
          <w:color w:val="000000"/>
          <w:lang w:val="en-US"/>
        </w:rPr>
        <w:t>&gt; 0.25)</w:t>
      </w:r>
      <w:r>
        <w:rPr>
          <w:color w:val="000000"/>
          <w:lang w:val="en-US"/>
        </w:rPr>
        <w:t xml:space="preserve"> [1].</w:t>
      </w:r>
      <w:r w:rsidRPr="00D45E60">
        <w:rPr>
          <w:color w:val="000000"/>
          <w:lang w:val="en-US"/>
        </w:rPr>
        <w:t xml:space="preserve"> Female students were significantly more likely to be regular participants in formative assessment (</w:t>
      </w:r>
      <w:r w:rsidRPr="00D45E60">
        <w:rPr>
          <w:i/>
          <w:color w:val="000000"/>
          <w:lang w:val="en-US"/>
        </w:rPr>
        <w:t>p</w:t>
      </w:r>
      <w:r w:rsidRPr="00D45E60">
        <w:rPr>
          <w:color w:val="000000"/>
          <w:lang w:val="en-US"/>
        </w:rPr>
        <w:t xml:space="preserve"> = .03). Since asynchronous formative assessment, like the ones used in this study, require a greater level of organization and engagement, these assignments tend to slightly favor female students (</w:t>
      </w:r>
      <w:r w:rsidRPr="00D45E60">
        <w:rPr>
          <w:lang w:val="en-US"/>
        </w:rPr>
        <w:t>DiPrete, 2013</w:t>
      </w:r>
      <w:r w:rsidRPr="00D45E60">
        <w:rPr>
          <w:color w:val="000000"/>
          <w:lang w:val="en-US"/>
        </w:rPr>
        <w:t xml:space="preserve">). Despite the selection bias inherent in the participation </w:t>
      </w:r>
      <w:r>
        <w:rPr>
          <w:color w:val="000000"/>
          <w:lang w:val="en-US"/>
        </w:rPr>
        <w:t>levels</w:t>
      </w:r>
      <w:r w:rsidRPr="00D45E60">
        <w:rPr>
          <w:color w:val="000000"/>
          <w:lang w:val="en-US"/>
        </w:rPr>
        <w:t xml:space="preserve">, </w:t>
      </w:r>
      <w:r w:rsidR="00CF0312">
        <w:rPr>
          <w:color w:val="000000"/>
          <w:lang w:val="en-US"/>
        </w:rPr>
        <w:t>there was no significant difference on any measurement of prior knowledge taken at the beginning of the study</w:t>
      </w:r>
      <w:r w:rsidRPr="00D45E60">
        <w:rPr>
          <w:color w:val="000000"/>
          <w:lang w:val="en-US"/>
        </w:rPr>
        <w:t xml:space="preserve">. </w:t>
      </w:r>
      <w:r w:rsidR="000C5822">
        <w:rPr>
          <w:color w:val="000000"/>
          <w:lang w:val="en-US"/>
        </w:rPr>
        <w:t>These measures of students’ prior knowledge, which all indicated students that chose to participate or not participate in the formative assessments did not have significantly different levels of prior knowledge were not included in the model.</w:t>
      </w:r>
    </w:p>
    <w:p w:rsidR="00E5403B" w:rsidRPr="00D45E60" w:rsidRDefault="00D45E60" w:rsidP="003613F6">
      <w:pPr>
        <w:autoSpaceDE/>
        <w:autoSpaceDN/>
        <w:rPr>
          <w:color w:val="000000"/>
          <w:lang w:val="en-US"/>
        </w:rPr>
      </w:pPr>
      <w:r w:rsidRPr="00D45E60">
        <w:rPr>
          <w:color w:val="000000"/>
          <w:lang w:val="en-US"/>
        </w:rPr>
        <w:t>There were 66 students that consented to participate in the study; 13 of the students were removed from the sample because they had prior exposure to the labs that could confound the results. Of the 53 students that were new to the approximation framework labs, only seven had no prior exposure to limit concepts in a prior course, and 27 of the students h</w:t>
      </w:r>
      <w:r w:rsidR="00E5403B">
        <w:rPr>
          <w:color w:val="000000"/>
          <w:lang w:val="en-US"/>
        </w:rPr>
        <w:t xml:space="preserve">ad AP Calculus [2] in high school. </w:t>
      </w:r>
      <w:r w:rsidR="002D169F">
        <w:rPr>
          <w:color w:val="000000"/>
          <w:lang w:val="en-US"/>
        </w:rPr>
        <w:t xml:space="preserve">Students needed to have completed at least 10/12 formative assessments to be classified as a regular participant. </w:t>
      </w:r>
      <w:r w:rsidR="00B64C0C">
        <w:rPr>
          <w:color w:val="000000"/>
          <w:lang w:val="en-US"/>
        </w:rPr>
        <w:t>T</w:t>
      </w:r>
      <w:r w:rsidRPr="00D45E60">
        <w:rPr>
          <w:color w:val="000000"/>
          <w:lang w:val="en-US"/>
        </w:rPr>
        <w:t xml:space="preserve">here were </w:t>
      </w:r>
      <w:r w:rsidR="00B64C0C">
        <w:rPr>
          <w:color w:val="000000"/>
          <w:lang w:val="en-US"/>
        </w:rPr>
        <w:t>30</w:t>
      </w:r>
      <w:r w:rsidRPr="00D45E60">
        <w:rPr>
          <w:color w:val="000000"/>
          <w:lang w:val="en-US"/>
        </w:rPr>
        <w:t xml:space="preserve"> students classified as </w:t>
      </w:r>
      <w:r w:rsidR="0001502B">
        <w:rPr>
          <w:color w:val="000000"/>
          <w:lang w:val="en-US"/>
        </w:rPr>
        <w:t>irregular participants</w:t>
      </w:r>
      <w:r w:rsidRPr="00D45E60">
        <w:rPr>
          <w:color w:val="000000"/>
          <w:lang w:val="en-US"/>
        </w:rPr>
        <w:t>; the remaining 23 students participated regularly in the</w:t>
      </w:r>
      <w:r w:rsidR="00D97DAD">
        <w:rPr>
          <w:color w:val="000000"/>
          <w:lang w:val="en-US"/>
        </w:rPr>
        <w:t xml:space="preserve"> formative assessments</w:t>
      </w:r>
      <w:r w:rsidRPr="00D45E60">
        <w:rPr>
          <w:color w:val="000000"/>
          <w:lang w:val="en-US"/>
        </w:rPr>
        <w:t>.</w:t>
      </w:r>
      <w:r w:rsidR="00515E02">
        <w:rPr>
          <w:color w:val="000000"/>
          <w:lang w:val="en-US"/>
        </w:rPr>
        <w:t xml:space="preserve">Only students that completed at least two of the four </w:t>
      </w:r>
      <w:r w:rsidR="00B64C0C">
        <w:rPr>
          <w:color w:val="000000"/>
          <w:lang w:val="en-US"/>
        </w:rPr>
        <w:t>approximation</w:t>
      </w:r>
      <w:r w:rsidR="0001502B">
        <w:rPr>
          <w:color w:val="000000"/>
          <w:lang w:val="en-US"/>
        </w:rPr>
        <w:t xml:space="preserve"> labs</w:t>
      </w:r>
      <w:r w:rsidR="00515E02">
        <w:rPr>
          <w:color w:val="000000"/>
          <w:lang w:val="en-US"/>
        </w:rPr>
        <w:t xml:space="preserve"> were included in the analysis and are included in the table.</w:t>
      </w:r>
    </w:p>
    <w:p w:rsidR="00515E02" w:rsidRDefault="0092709A" w:rsidP="003613F6">
      <w:pPr>
        <w:pStyle w:val="FigTitle"/>
        <w:spacing w:before="0"/>
        <w:rPr>
          <w:b w:val="0"/>
          <w:sz w:val="28"/>
        </w:rPr>
      </w:pPr>
      <w:r>
        <w:rPr>
          <w:b w:val="0"/>
          <w:sz w:val="28"/>
        </w:rPr>
        <w:t>The initial analysis us</w:t>
      </w:r>
      <w:r w:rsidR="0057182C">
        <w:rPr>
          <w:b w:val="0"/>
          <w:sz w:val="28"/>
        </w:rPr>
        <w:t>ed</w:t>
      </w:r>
      <w:r>
        <w:rPr>
          <w:b w:val="0"/>
          <w:sz w:val="28"/>
        </w:rPr>
        <w:t xml:space="preserve"> bonferroni corrected t-tests found that there were significant differences in the mean number of questions answered correctly by students in each participation level</w:t>
      </w:r>
      <w:r w:rsidR="0057182C">
        <w:rPr>
          <w:b w:val="0"/>
          <w:sz w:val="28"/>
        </w:rPr>
        <w:t xml:space="preserve"> on the three labs, which suggested a hierarchical analysis was most appropriate for the data</w:t>
      </w:r>
      <w:r w:rsidR="00F07565">
        <w:rPr>
          <w:b w:val="0"/>
          <w:sz w:val="28"/>
        </w:rPr>
        <w:t xml:space="preserve"> (</w:t>
      </w:r>
      <w:r w:rsidR="00FC2A61" w:rsidRPr="00FC2A61">
        <w:rPr>
          <w:b w:val="0"/>
          <w:sz w:val="28"/>
        </w:rPr>
        <w:t>Raudenbush, Bryk, Cheong, Congdon, &amp; Toit, 2004)</w:t>
      </w:r>
      <w:r w:rsidRPr="00FC2A61">
        <w:rPr>
          <w:b w:val="0"/>
          <w:sz w:val="28"/>
        </w:rPr>
        <w:t>.</w:t>
      </w:r>
      <w:r>
        <w:rPr>
          <w:b w:val="0"/>
          <w:sz w:val="28"/>
        </w:rPr>
        <w:t xml:space="preserve"> After the null model showed significant differences in the intercept and slope between the two participation classifications</w:t>
      </w:r>
      <w:r w:rsidR="0057182C">
        <w:rPr>
          <w:b w:val="0"/>
          <w:sz w:val="28"/>
        </w:rPr>
        <w:t xml:space="preserve">, the final model was: </w:t>
      </w:r>
    </w:p>
    <w:p w:rsidR="00911EAB" w:rsidRDefault="00911EAB" w:rsidP="001D1982">
      <w:pPr>
        <w:pStyle w:val="FigTitle"/>
        <w:spacing w:before="0"/>
        <w:rPr>
          <w:b w:val="0"/>
          <w:i/>
          <w:iCs/>
          <w:sz w:val="28"/>
          <w:vertAlign w:val="subscript"/>
        </w:rPr>
      </w:pPr>
      <w:r w:rsidRPr="00911EAB">
        <w:rPr>
          <w:b w:val="0"/>
          <w:i/>
          <w:iCs/>
          <w:sz w:val="28"/>
        </w:rPr>
        <w:t>SCORE</w:t>
      </w:r>
      <w:r w:rsidRPr="00911EAB">
        <w:rPr>
          <w:b w:val="0"/>
          <w:i/>
          <w:iCs/>
          <w:sz w:val="28"/>
          <w:vertAlign w:val="subscript"/>
        </w:rPr>
        <w:t>ij</w:t>
      </w:r>
      <w:r w:rsidRPr="00911EAB">
        <w:rPr>
          <w:b w:val="0"/>
          <w:iCs/>
          <w:sz w:val="28"/>
        </w:rPr>
        <w:t> = </w:t>
      </w:r>
      <w:r w:rsidRPr="00911EAB">
        <w:rPr>
          <w:b w:val="0"/>
          <w:i/>
          <w:iCs/>
          <w:sz w:val="28"/>
        </w:rPr>
        <w:t>γ</w:t>
      </w:r>
      <w:r w:rsidRPr="00911EAB">
        <w:rPr>
          <w:b w:val="0"/>
          <w:i/>
          <w:iCs/>
          <w:sz w:val="28"/>
          <w:vertAlign w:val="subscript"/>
        </w:rPr>
        <w:t>00</w:t>
      </w:r>
      <w:r w:rsidRPr="00911EAB">
        <w:rPr>
          <w:b w:val="0"/>
          <w:iCs/>
          <w:sz w:val="28"/>
        </w:rPr>
        <w:t> + </w:t>
      </w:r>
      <w:r w:rsidRPr="00911EAB">
        <w:rPr>
          <w:b w:val="0"/>
          <w:i/>
          <w:iCs/>
          <w:sz w:val="28"/>
        </w:rPr>
        <w:t>γ</w:t>
      </w:r>
      <w:r w:rsidRPr="00911EAB">
        <w:rPr>
          <w:b w:val="0"/>
          <w:i/>
          <w:iCs/>
          <w:sz w:val="28"/>
          <w:vertAlign w:val="subscript"/>
        </w:rPr>
        <w:t>01</w:t>
      </w:r>
      <w:r w:rsidRPr="00911EAB">
        <w:rPr>
          <w:b w:val="0"/>
          <w:iCs/>
          <w:sz w:val="28"/>
        </w:rPr>
        <w:t>*</w:t>
      </w:r>
      <w:r w:rsidRPr="00911EAB">
        <w:rPr>
          <w:b w:val="0"/>
          <w:i/>
          <w:iCs/>
          <w:sz w:val="28"/>
        </w:rPr>
        <w:t>REGULAR</w:t>
      </w:r>
      <w:r w:rsidRPr="00911EAB">
        <w:rPr>
          <w:b w:val="0"/>
          <w:i/>
          <w:iCs/>
          <w:sz w:val="28"/>
          <w:vertAlign w:val="subscript"/>
        </w:rPr>
        <w:t>j</w:t>
      </w:r>
      <w:r w:rsidRPr="00911EAB">
        <w:rPr>
          <w:b w:val="0"/>
          <w:iCs/>
          <w:sz w:val="28"/>
        </w:rPr>
        <w:t> + </w:t>
      </w:r>
      <w:r w:rsidRPr="00911EAB">
        <w:rPr>
          <w:b w:val="0"/>
          <w:i/>
          <w:iCs/>
          <w:sz w:val="28"/>
        </w:rPr>
        <w:t>γ</w:t>
      </w:r>
      <w:r w:rsidRPr="00911EAB">
        <w:rPr>
          <w:b w:val="0"/>
          <w:i/>
          <w:iCs/>
          <w:sz w:val="28"/>
          <w:vertAlign w:val="subscript"/>
        </w:rPr>
        <w:t>10</w:t>
      </w:r>
      <w:r w:rsidRPr="00911EAB">
        <w:rPr>
          <w:b w:val="0"/>
          <w:iCs/>
          <w:sz w:val="28"/>
        </w:rPr>
        <w:t>*</w:t>
      </w:r>
      <w:r w:rsidRPr="00911EAB">
        <w:rPr>
          <w:b w:val="0"/>
          <w:i/>
          <w:iCs/>
          <w:sz w:val="28"/>
        </w:rPr>
        <w:t>LAB</w:t>
      </w:r>
      <w:r w:rsidRPr="00911EAB">
        <w:rPr>
          <w:b w:val="0"/>
          <w:i/>
          <w:iCs/>
          <w:sz w:val="28"/>
          <w:vertAlign w:val="subscript"/>
        </w:rPr>
        <w:t>ij</w:t>
      </w:r>
      <w:r w:rsidRPr="00911EAB">
        <w:rPr>
          <w:b w:val="0"/>
          <w:iCs/>
          <w:sz w:val="28"/>
        </w:rPr>
        <w:t> + </w:t>
      </w:r>
      <w:r w:rsidRPr="00911EAB">
        <w:rPr>
          <w:b w:val="0"/>
          <w:i/>
          <w:iCs/>
          <w:sz w:val="28"/>
        </w:rPr>
        <w:t>γ</w:t>
      </w:r>
      <w:r w:rsidRPr="00911EAB">
        <w:rPr>
          <w:b w:val="0"/>
          <w:i/>
          <w:iCs/>
          <w:sz w:val="28"/>
          <w:vertAlign w:val="subscript"/>
        </w:rPr>
        <w:t>11</w:t>
      </w:r>
      <w:r w:rsidRPr="00911EAB">
        <w:rPr>
          <w:b w:val="0"/>
          <w:iCs/>
          <w:sz w:val="28"/>
        </w:rPr>
        <w:t>*</w:t>
      </w:r>
      <w:r w:rsidRPr="00911EAB">
        <w:rPr>
          <w:b w:val="0"/>
          <w:i/>
          <w:iCs/>
          <w:sz w:val="28"/>
        </w:rPr>
        <w:t>REGULAR</w:t>
      </w:r>
      <w:r w:rsidRPr="00911EAB">
        <w:rPr>
          <w:b w:val="0"/>
          <w:i/>
          <w:iCs/>
          <w:sz w:val="28"/>
          <w:vertAlign w:val="subscript"/>
        </w:rPr>
        <w:t>j</w:t>
      </w:r>
      <w:r w:rsidRPr="00911EAB">
        <w:rPr>
          <w:b w:val="0"/>
          <w:iCs/>
          <w:sz w:val="28"/>
        </w:rPr>
        <w:t>*</w:t>
      </w:r>
      <w:r w:rsidRPr="00911EAB">
        <w:rPr>
          <w:b w:val="0"/>
          <w:i/>
          <w:iCs/>
          <w:sz w:val="28"/>
        </w:rPr>
        <w:t>LAB</w:t>
      </w:r>
      <w:r w:rsidRPr="00911EAB">
        <w:rPr>
          <w:b w:val="0"/>
          <w:i/>
          <w:iCs/>
          <w:sz w:val="28"/>
          <w:vertAlign w:val="subscript"/>
        </w:rPr>
        <w:t>ij</w:t>
      </w:r>
      <w:r w:rsidRPr="00911EAB">
        <w:rPr>
          <w:b w:val="0"/>
          <w:iCs/>
          <w:sz w:val="28"/>
        </w:rPr>
        <w:t> + </w:t>
      </w:r>
      <w:r w:rsidRPr="00911EAB">
        <w:rPr>
          <w:b w:val="0"/>
          <w:i/>
          <w:iCs/>
          <w:sz w:val="28"/>
        </w:rPr>
        <w:t>u</w:t>
      </w:r>
      <w:r w:rsidRPr="00911EAB">
        <w:rPr>
          <w:b w:val="0"/>
          <w:i/>
          <w:iCs/>
          <w:sz w:val="28"/>
          <w:vertAlign w:val="subscript"/>
        </w:rPr>
        <w:t>0j</w:t>
      </w:r>
      <w:r w:rsidRPr="00911EAB">
        <w:rPr>
          <w:b w:val="0"/>
          <w:iCs/>
          <w:sz w:val="28"/>
        </w:rPr>
        <w:t>+ </w:t>
      </w:r>
      <w:r w:rsidRPr="00911EAB">
        <w:rPr>
          <w:b w:val="0"/>
          <w:i/>
          <w:iCs/>
          <w:sz w:val="28"/>
        </w:rPr>
        <w:t>r</w:t>
      </w:r>
      <w:r w:rsidRPr="00911EAB">
        <w:rPr>
          <w:b w:val="0"/>
          <w:i/>
          <w:iCs/>
          <w:sz w:val="28"/>
          <w:vertAlign w:val="subscript"/>
        </w:rPr>
        <w:t>ij</w:t>
      </w:r>
    </w:p>
    <w:p w:rsidR="001D1982" w:rsidRDefault="0057182C" w:rsidP="001D1982">
      <w:pPr>
        <w:pStyle w:val="FigTitle"/>
        <w:spacing w:before="0"/>
        <w:rPr>
          <w:b w:val="0"/>
          <w:iCs/>
          <w:sz w:val="28"/>
        </w:rPr>
      </w:pPr>
      <w:r>
        <w:rPr>
          <w:b w:val="0"/>
          <w:iCs/>
          <w:sz w:val="28"/>
        </w:rPr>
        <w:t xml:space="preserve">The dependant variable is the number of questions a student answered correctly; regular and </w:t>
      </w:r>
      <w:r w:rsidR="00DC4037">
        <w:rPr>
          <w:b w:val="0"/>
          <w:iCs/>
          <w:sz w:val="28"/>
        </w:rPr>
        <w:t>is a</w:t>
      </w:r>
      <w:r>
        <w:rPr>
          <w:b w:val="0"/>
          <w:iCs/>
          <w:sz w:val="28"/>
        </w:rPr>
        <w:t xml:space="preserve"> dummy coded variables at the student and time level. </w:t>
      </w:r>
      <w:r w:rsidR="00F52C06">
        <w:rPr>
          <w:b w:val="0"/>
          <w:iCs/>
          <w:sz w:val="28"/>
        </w:rPr>
        <w:t>Gender</w:t>
      </w:r>
      <w:r w:rsidR="00DC4037">
        <w:rPr>
          <w:b w:val="0"/>
          <w:iCs/>
          <w:sz w:val="28"/>
        </w:rPr>
        <w:t>, ACT Math score</w:t>
      </w:r>
      <w:r w:rsidR="00AB527B">
        <w:rPr>
          <w:b w:val="0"/>
          <w:iCs/>
          <w:sz w:val="28"/>
        </w:rPr>
        <w:t xml:space="preserve"> (a standardized exam students take their third year of high school in preparation for applying to college)</w:t>
      </w:r>
      <w:r w:rsidR="00DC4037">
        <w:rPr>
          <w:b w:val="0"/>
          <w:iCs/>
          <w:sz w:val="28"/>
        </w:rPr>
        <w:t>, ethnicity, year in school, native language, major,and the Calculus Readiness Test</w:t>
      </w:r>
      <w:r w:rsidR="00AB527B">
        <w:rPr>
          <w:b w:val="0"/>
          <w:iCs/>
          <w:sz w:val="28"/>
        </w:rPr>
        <w:t xml:space="preserve"> (a standardized exam administered to students on the second day of classes)</w:t>
      </w:r>
      <w:r w:rsidR="00DC4037">
        <w:rPr>
          <w:b w:val="0"/>
          <w:iCs/>
          <w:sz w:val="28"/>
        </w:rPr>
        <w:t xml:space="preserve">, </w:t>
      </w:r>
      <w:r w:rsidR="00F52C06">
        <w:rPr>
          <w:b w:val="0"/>
          <w:iCs/>
          <w:sz w:val="28"/>
        </w:rPr>
        <w:t>did not explain significantly more variance when included, and w</w:t>
      </w:r>
      <w:r w:rsidR="00DC4037">
        <w:rPr>
          <w:b w:val="0"/>
          <w:iCs/>
          <w:sz w:val="28"/>
        </w:rPr>
        <w:t>ere all</w:t>
      </w:r>
      <w:r w:rsidR="00F52C06">
        <w:rPr>
          <w:b w:val="0"/>
          <w:iCs/>
          <w:sz w:val="28"/>
        </w:rPr>
        <w:t xml:space="preserve"> discarded in order to retain the most parsimoniousness model.</w:t>
      </w:r>
    </w:p>
    <w:p w:rsidR="00943879" w:rsidRPr="001D1982" w:rsidRDefault="00943879" w:rsidP="001D1982">
      <w:pPr>
        <w:pStyle w:val="FigTitle"/>
        <w:spacing w:before="0"/>
        <w:rPr>
          <w:b w:val="0"/>
          <w:sz w:val="28"/>
        </w:rPr>
      </w:pPr>
      <w:r>
        <w:t>RESULTS</w:t>
      </w:r>
    </w:p>
    <w:p w:rsidR="0016537D" w:rsidRDefault="007E425A" w:rsidP="00943879">
      <w:r>
        <w:t xml:space="preserve">There were students that earned every possible final grade in both participation levels, but on the labs, the students that regularly participated in the formative assessments that followed answered more items correctly on the lab write ups than the irregular participants. Table </w:t>
      </w:r>
      <w:r w:rsidR="00D97DAD">
        <w:t>1</w:t>
      </w:r>
      <w:r>
        <w:t xml:space="preserve"> summarizes the results of the t test assuming unequal variances. The </w:t>
      </w:r>
      <w:r w:rsidRPr="00FD177D">
        <w:rPr>
          <w:i/>
        </w:rPr>
        <w:t>p</w:t>
      </w:r>
      <w:r>
        <w:t xml:space="preserve">-values have all been multiplied by a factor of three to account for multiple hypothesis tests. Despite the correction, the regular participants in formative assessment have a significantly higher mean score than those not participating regularly. While these two groups were not significantly different on any of the grade-predictive measures available at the </w:t>
      </w:r>
      <w:r w:rsidR="00E454FC">
        <w:t xml:space="preserve">beginning of the semester, the students that were irregular participants in the formative postlabs actually had slightly higher average scores than the regular participants.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971"/>
        <w:gridCol w:w="1971"/>
        <w:gridCol w:w="1971"/>
      </w:tblGrid>
      <w:tr w:rsidR="00796A11" w:rsidTr="00C141DE">
        <w:tc>
          <w:tcPr>
            <w:tcW w:w="2988" w:type="dxa"/>
            <w:shd w:val="clear" w:color="auto" w:fill="auto"/>
          </w:tcPr>
          <w:p w:rsidR="00796A11" w:rsidRDefault="00796A11" w:rsidP="00943879"/>
        </w:tc>
        <w:tc>
          <w:tcPr>
            <w:tcW w:w="1971" w:type="dxa"/>
            <w:shd w:val="clear" w:color="auto" w:fill="auto"/>
          </w:tcPr>
          <w:p w:rsidR="00796A11" w:rsidRDefault="00796A11" w:rsidP="00943879">
            <w:r>
              <w:t>Irregular Mean</w:t>
            </w:r>
          </w:p>
        </w:tc>
        <w:tc>
          <w:tcPr>
            <w:tcW w:w="1971" w:type="dxa"/>
            <w:shd w:val="clear" w:color="auto" w:fill="auto"/>
          </w:tcPr>
          <w:p w:rsidR="00796A11" w:rsidRDefault="00796A11" w:rsidP="00943879">
            <w:r>
              <w:t>Regular Mean</w:t>
            </w:r>
          </w:p>
        </w:tc>
        <w:tc>
          <w:tcPr>
            <w:tcW w:w="1971" w:type="dxa"/>
            <w:shd w:val="clear" w:color="auto" w:fill="auto"/>
          </w:tcPr>
          <w:p w:rsidR="00796A11" w:rsidRDefault="00796A11" w:rsidP="00943879">
            <w:r w:rsidRPr="00E72F45">
              <w:rPr>
                <w:i/>
              </w:rPr>
              <w:t>p</w:t>
            </w:r>
            <w:r>
              <w:t>-value</w:t>
            </w:r>
          </w:p>
        </w:tc>
      </w:tr>
      <w:tr w:rsidR="00796A11" w:rsidTr="00C141DE">
        <w:tc>
          <w:tcPr>
            <w:tcW w:w="2988" w:type="dxa"/>
            <w:shd w:val="clear" w:color="auto" w:fill="auto"/>
          </w:tcPr>
          <w:p w:rsidR="00796A11" w:rsidRDefault="00796A11" w:rsidP="00943879">
            <w:r>
              <w:t>Limits</w:t>
            </w:r>
          </w:p>
        </w:tc>
        <w:tc>
          <w:tcPr>
            <w:tcW w:w="1971" w:type="dxa"/>
            <w:shd w:val="clear" w:color="auto" w:fill="auto"/>
          </w:tcPr>
          <w:p w:rsidR="00796A11" w:rsidRDefault="00796A11" w:rsidP="00943879">
            <w:r>
              <w:t xml:space="preserve">8.48 </w:t>
            </w:r>
          </w:p>
        </w:tc>
        <w:tc>
          <w:tcPr>
            <w:tcW w:w="1971" w:type="dxa"/>
            <w:shd w:val="clear" w:color="auto" w:fill="auto"/>
          </w:tcPr>
          <w:p w:rsidR="00796A11" w:rsidRDefault="00796A11" w:rsidP="00943879">
            <w:r>
              <w:t>13</w:t>
            </w:r>
          </w:p>
        </w:tc>
        <w:tc>
          <w:tcPr>
            <w:tcW w:w="1971" w:type="dxa"/>
            <w:shd w:val="clear" w:color="auto" w:fill="auto"/>
          </w:tcPr>
          <w:p w:rsidR="00796A11" w:rsidRDefault="00796A11" w:rsidP="007E425A">
            <w:r>
              <w:t>0.00</w:t>
            </w:r>
            <w:r w:rsidR="007E425A">
              <w:t>6</w:t>
            </w:r>
          </w:p>
        </w:tc>
      </w:tr>
      <w:tr w:rsidR="00796A11" w:rsidTr="00C141DE">
        <w:tc>
          <w:tcPr>
            <w:tcW w:w="2988" w:type="dxa"/>
            <w:shd w:val="clear" w:color="auto" w:fill="auto"/>
          </w:tcPr>
          <w:p w:rsidR="00796A11" w:rsidRDefault="00796A11" w:rsidP="007E425A">
            <w:r>
              <w:t xml:space="preserve">Derivatives </w:t>
            </w:r>
            <w:r w:rsidR="009D1594">
              <w:t>(Final)</w:t>
            </w:r>
          </w:p>
        </w:tc>
        <w:tc>
          <w:tcPr>
            <w:tcW w:w="1971" w:type="dxa"/>
            <w:shd w:val="clear" w:color="auto" w:fill="auto"/>
          </w:tcPr>
          <w:p w:rsidR="00796A11" w:rsidRDefault="00796A11" w:rsidP="00943879">
            <w:r>
              <w:t>5.29</w:t>
            </w:r>
          </w:p>
        </w:tc>
        <w:tc>
          <w:tcPr>
            <w:tcW w:w="1971" w:type="dxa"/>
            <w:shd w:val="clear" w:color="auto" w:fill="auto"/>
          </w:tcPr>
          <w:p w:rsidR="00796A11" w:rsidRDefault="00796A11" w:rsidP="00943879">
            <w:r>
              <w:t>16.52</w:t>
            </w:r>
          </w:p>
        </w:tc>
        <w:tc>
          <w:tcPr>
            <w:tcW w:w="1971" w:type="dxa"/>
            <w:shd w:val="clear" w:color="auto" w:fill="auto"/>
          </w:tcPr>
          <w:p w:rsidR="00796A11" w:rsidRDefault="00796A11" w:rsidP="00796A11">
            <w:r>
              <w:t>&lt;0.001</w:t>
            </w:r>
          </w:p>
        </w:tc>
      </w:tr>
      <w:tr w:rsidR="00796A11" w:rsidTr="00C141DE">
        <w:tc>
          <w:tcPr>
            <w:tcW w:w="2988" w:type="dxa"/>
            <w:shd w:val="clear" w:color="auto" w:fill="auto"/>
          </w:tcPr>
          <w:p w:rsidR="00796A11" w:rsidRDefault="00796A11" w:rsidP="00943879">
            <w:r>
              <w:t>Definite Integrals</w:t>
            </w:r>
          </w:p>
        </w:tc>
        <w:tc>
          <w:tcPr>
            <w:tcW w:w="1971" w:type="dxa"/>
            <w:shd w:val="clear" w:color="auto" w:fill="auto"/>
          </w:tcPr>
          <w:p w:rsidR="00796A11" w:rsidRDefault="00796A11" w:rsidP="00943879">
            <w:r>
              <w:t>5.51</w:t>
            </w:r>
          </w:p>
        </w:tc>
        <w:tc>
          <w:tcPr>
            <w:tcW w:w="1971" w:type="dxa"/>
            <w:shd w:val="clear" w:color="auto" w:fill="auto"/>
          </w:tcPr>
          <w:p w:rsidR="00796A11" w:rsidRDefault="00796A11" w:rsidP="00943879">
            <w:r>
              <w:t>17.34</w:t>
            </w:r>
          </w:p>
        </w:tc>
        <w:tc>
          <w:tcPr>
            <w:tcW w:w="1971" w:type="dxa"/>
            <w:shd w:val="clear" w:color="auto" w:fill="auto"/>
          </w:tcPr>
          <w:p w:rsidR="00796A11" w:rsidRDefault="00796A11" w:rsidP="00943879">
            <w:r>
              <w:t>&lt;0.001</w:t>
            </w:r>
          </w:p>
        </w:tc>
      </w:tr>
    </w:tbl>
    <w:p w:rsidR="008D3E2D" w:rsidRPr="00FD177D" w:rsidRDefault="00796A11" w:rsidP="00796A11">
      <w:pPr>
        <w:pStyle w:val="FigTitle"/>
        <w:rPr>
          <w:sz w:val="28"/>
        </w:rPr>
      </w:pPr>
      <w:r w:rsidRPr="00FD177D">
        <w:rPr>
          <w:sz w:val="28"/>
        </w:rPr>
        <w:t xml:space="preserve">Table </w:t>
      </w:r>
      <w:r w:rsidR="00D97DAD">
        <w:rPr>
          <w:sz w:val="28"/>
        </w:rPr>
        <w:t>1</w:t>
      </w:r>
      <w:r w:rsidRPr="00FD177D">
        <w:rPr>
          <w:sz w:val="28"/>
        </w:rPr>
        <w:t xml:space="preserve">: </w:t>
      </w:r>
      <w:r w:rsidRPr="00FD177D">
        <w:rPr>
          <w:i/>
          <w:sz w:val="28"/>
        </w:rPr>
        <w:t>t</w:t>
      </w:r>
      <w:r w:rsidRPr="00FD177D">
        <w:rPr>
          <w:sz w:val="28"/>
        </w:rPr>
        <w:t>-test results for mean number of items answered correctly on each lab by participation level</w:t>
      </w:r>
    </w:p>
    <w:p w:rsidR="008D3E2D" w:rsidRDefault="00A77A9A" w:rsidP="00943879">
      <w:r>
        <w:t>Given that there appeared to be differences in both the initial level of performance and the rate of change in score from lab to lab, an analysis that accounted for time was more appropriate to explore this phenomenon further. To confirm growth modelling was the appropriate choice of statistic, a null model</w:t>
      </w:r>
      <w:r w:rsidR="002E3CB1">
        <w:t xml:space="preserve"> [</w:t>
      </w:r>
      <w:r w:rsidR="00991845">
        <w:t>3</w:t>
      </w:r>
      <w:r w:rsidR="002E3CB1">
        <w:t>]</w:t>
      </w:r>
      <w:r w:rsidR="001D1982">
        <w:t xml:space="preserve"> was run; this </w:t>
      </w:r>
      <w:r w:rsidR="002E3CB1">
        <w:t xml:space="preserve">model was significant (Table </w:t>
      </w:r>
      <w:r w:rsidR="00D97DAD">
        <w:t>2</w:t>
      </w:r>
      <w:r w:rsidR="002E3CB1">
        <w:t xml:space="preserve">), confirming that multilevel modelling was required; the </w:t>
      </w:r>
      <w:r w:rsidR="00E5403B">
        <w:t>unexplained variance</w:t>
      </w:r>
      <w:r w:rsidR="002E3CB1">
        <w:t xml:space="preserve"> was 0.504</w:t>
      </w:r>
      <w:r w:rsidR="00E5403B">
        <w:t xml:space="preserve"> [</w:t>
      </w:r>
      <w:r w:rsidR="00991845">
        <w:t>4</w:t>
      </w:r>
      <w:r w:rsidR="00E5403B">
        <w:t>]</w:t>
      </w:r>
      <w:r w:rsidR="002E3CB1">
        <w:t xml:space="preserve">. </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642"/>
        <w:gridCol w:w="1642"/>
        <w:gridCol w:w="946"/>
        <w:gridCol w:w="1643"/>
        <w:gridCol w:w="1643"/>
      </w:tblGrid>
      <w:tr w:rsidR="002E3CB1" w:rsidTr="00E72F45">
        <w:tc>
          <w:tcPr>
            <w:tcW w:w="2178" w:type="dxa"/>
            <w:shd w:val="clear" w:color="auto" w:fill="auto"/>
          </w:tcPr>
          <w:p w:rsidR="002E3CB1" w:rsidRDefault="002E3CB1" w:rsidP="002E3CB1">
            <w:r>
              <w:t>Random Effect</w:t>
            </w:r>
          </w:p>
        </w:tc>
        <w:tc>
          <w:tcPr>
            <w:tcW w:w="1642" w:type="dxa"/>
            <w:shd w:val="clear" w:color="auto" w:fill="auto"/>
          </w:tcPr>
          <w:p w:rsidR="002E3CB1" w:rsidRDefault="002E3CB1" w:rsidP="00943879">
            <w:r>
              <w:t>Standard Deviation</w:t>
            </w:r>
          </w:p>
        </w:tc>
        <w:tc>
          <w:tcPr>
            <w:tcW w:w="1642" w:type="dxa"/>
            <w:shd w:val="clear" w:color="auto" w:fill="auto"/>
          </w:tcPr>
          <w:p w:rsidR="002E3CB1" w:rsidRDefault="002E3CB1" w:rsidP="00943879">
            <w:r>
              <w:t>Variance Component</w:t>
            </w:r>
          </w:p>
        </w:tc>
        <w:tc>
          <w:tcPr>
            <w:tcW w:w="946" w:type="dxa"/>
            <w:shd w:val="clear" w:color="auto" w:fill="auto"/>
          </w:tcPr>
          <w:p w:rsidR="002E3CB1" w:rsidRDefault="002E3CB1" w:rsidP="00943879">
            <w:r>
              <w:t>d.f</w:t>
            </w:r>
          </w:p>
        </w:tc>
        <w:tc>
          <w:tcPr>
            <w:tcW w:w="1643" w:type="dxa"/>
            <w:shd w:val="clear" w:color="auto" w:fill="auto"/>
          </w:tcPr>
          <w:p w:rsidR="002E3CB1" w:rsidRDefault="002E3CB1" w:rsidP="00943879">
            <w:r w:rsidRPr="00E72F45">
              <w:rPr>
                <w:i/>
              </w:rPr>
              <w:t>X</w:t>
            </w:r>
            <w:r w:rsidRPr="00E72F45">
              <w:rPr>
                <w:vertAlign w:val="superscript"/>
              </w:rPr>
              <w:t>2</w:t>
            </w:r>
          </w:p>
        </w:tc>
        <w:tc>
          <w:tcPr>
            <w:tcW w:w="1643" w:type="dxa"/>
            <w:shd w:val="clear" w:color="auto" w:fill="auto"/>
          </w:tcPr>
          <w:p w:rsidR="002E3CB1" w:rsidRDefault="002E3CB1" w:rsidP="00943879">
            <w:r w:rsidRPr="00E72F45">
              <w:rPr>
                <w:i/>
              </w:rPr>
              <w:t>p</w:t>
            </w:r>
            <w:r>
              <w:t>-value</w:t>
            </w:r>
          </w:p>
        </w:tc>
      </w:tr>
      <w:tr w:rsidR="002E3CB1" w:rsidTr="00E72F45">
        <w:tc>
          <w:tcPr>
            <w:tcW w:w="2178" w:type="dxa"/>
            <w:shd w:val="clear" w:color="auto" w:fill="auto"/>
          </w:tcPr>
          <w:p w:rsidR="002E3CB1" w:rsidRDefault="002E3CB1" w:rsidP="00943879">
            <w:r>
              <w:t xml:space="preserve">INTRCPT1, </w:t>
            </w:r>
            <w:r w:rsidRPr="00E72F45">
              <w:rPr>
                <w:i/>
              </w:rPr>
              <w:t>u</w:t>
            </w:r>
            <w:r w:rsidRPr="00E72F45">
              <w:rPr>
                <w:i/>
                <w:vertAlign w:val="subscript"/>
              </w:rPr>
              <w:t>0</w:t>
            </w:r>
          </w:p>
        </w:tc>
        <w:tc>
          <w:tcPr>
            <w:tcW w:w="1642" w:type="dxa"/>
            <w:shd w:val="clear" w:color="auto" w:fill="auto"/>
          </w:tcPr>
          <w:p w:rsidR="002E3CB1" w:rsidRDefault="002E3CB1" w:rsidP="00943879">
            <w:r>
              <w:t>4.005</w:t>
            </w:r>
          </w:p>
        </w:tc>
        <w:tc>
          <w:tcPr>
            <w:tcW w:w="1642" w:type="dxa"/>
            <w:shd w:val="clear" w:color="auto" w:fill="auto"/>
          </w:tcPr>
          <w:p w:rsidR="002E3CB1" w:rsidRDefault="002E3CB1" w:rsidP="00943879">
            <w:r>
              <w:t>16.040</w:t>
            </w:r>
          </w:p>
        </w:tc>
        <w:tc>
          <w:tcPr>
            <w:tcW w:w="946" w:type="dxa"/>
            <w:shd w:val="clear" w:color="auto" w:fill="auto"/>
          </w:tcPr>
          <w:p w:rsidR="002E3CB1" w:rsidRDefault="002E3CB1" w:rsidP="00943879">
            <w:r>
              <w:t>42</w:t>
            </w:r>
          </w:p>
        </w:tc>
        <w:tc>
          <w:tcPr>
            <w:tcW w:w="1643" w:type="dxa"/>
            <w:shd w:val="clear" w:color="auto" w:fill="auto"/>
          </w:tcPr>
          <w:p w:rsidR="002E3CB1" w:rsidRDefault="002E3CB1" w:rsidP="00943879">
            <w:r>
              <w:t>189.1522</w:t>
            </w:r>
          </w:p>
        </w:tc>
        <w:tc>
          <w:tcPr>
            <w:tcW w:w="1643" w:type="dxa"/>
            <w:shd w:val="clear" w:color="auto" w:fill="auto"/>
          </w:tcPr>
          <w:p w:rsidR="002E3CB1" w:rsidRDefault="002E3CB1" w:rsidP="00943879">
            <w:r>
              <w:t>&lt;0.001</w:t>
            </w:r>
          </w:p>
        </w:tc>
      </w:tr>
      <w:tr w:rsidR="002E3CB1" w:rsidTr="00E72F45">
        <w:tc>
          <w:tcPr>
            <w:tcW w:w="2178" w:type="dxa"/>
            <w:shd w:val="clear" w:color="auto" w:fill="auto"/>
          </w:tcPr>
          <w:p w:rsidR="002E3CB1" w:rsidRDefault="002E3CB1" w:rsidP="00943879">
            <w:r>
              <w:t>Level-1, r</w:t>
            </w:r>
          </w:p>
        </w:tc>
        <w:tc>
          <w:tcPr>
            <w:tcW w:w="1642" w:type="dxa"/>
            <w:shd w:val="clear" w:color="auto" w:fill="auto"/>
          </w:tcPr>
          <w:p w:rsidR="002E3CB1" w:rsidRDefault="002E3CB1" w:rsidP="00943879">
            <w:r>
              <w:t>3.97055</w:t>
            </w:r>
          </w:p>
        </w:tc>
        <w:tc>
          <w:tcPr>
            <w:tcW w:w="1642" w:type="dxa"/>
            <w:shd w:val="clear" w:color="auto" w:fill="auto"/>
          </w:tcPr>
          <w:p w:rsidR="002E3CB1" w:rsidRDefault="002E3CB1" w:rsidP="00943879">
            <w:r>
              <w:t>15.765</w:t>
            </w:r>
          </w:p>
        </w:tc>
        <w:tc>
          <w:tcPr>
            <w:tcW w:w="946" w:type="dxa"/>
            <w:shd w:val="clear" w:color="auto" w:fill="auto"/>
          </w:tcPr>
          <w:p w:rsidR="002E3CB1" w:rsidRDefault="002E3CB1" w:rsidP="00943879"/>
        </w:tc>
        <w:tc>
          <w:tcPr>
            <w:tcW w:w="1643" w:type="dxa"/>
            <w:shd w:val="clear" w:color="auto" w:fill="auto"/>
          </w:tcPr>
          <w:p w:rsidR="002E3CB1" w:rsidRDefault="002E3CB1" w:rsidP="00943879"/>
        </w:tc>
        <w:tc>
          <w:tcPr>
            <w:tcW w:w="1643" w:type="dxa"/>
            <w:shd w:val="clear" w:color="auto" w:fill="auto"/>
          </w:tcPr>
          <w:p w:rsidR="002E3CB1" w:rsidRDefault="002E3CB1" w:rsidP="00943879"/>
        </w:tc>
      </w:tr>
    </w:tbl>
    <w:p w:rsidR="002E3CB1" w:rsidRPr="00FD177D" w:rsidRDefault="002E3CB1" w:rsidP="00943879">
      <w:pPr>
        <w:rPr>
          <w:b/>
          <w:szCs w:val="26"/>
        </w:rPr>
      </w:pPr>
      <w:r w:rsidRPr="00FD177D">
        <w:rPr>
          <w:b/>
          <w:szCs w:val="26"/>
        </w:rPr>
        <w:t xml:space="preserve">Table </w:t>
      </w:r>
      <w:r w:rsidR="00D97DAD">
        <w:rPr>
          <w:b/>
          <w:szCs w:val="26"/>
        </w:rPr>
        <w:t>2</w:t>
      </w:r>
      <w:r w:rsidRPr="00FD177D">
        <w:rPr>
          <w:b/>
          <w:szCs w:val="26"/>
        </w:rPr>
        <w:t>: Null growth model results</w:t>
      </w:r>
    </w:p>
    <w:p w:rsidR="002E3CB1" w:rsidRDefault="00DC4037" w:rsidP="00943879">
      <w:pPr>
        <w:rPr>
          <w:szCs w:val="26"/>
        </w:rPr>
      </w:pPr>
      <w:r>
        <w:rPr>
          <w:szCs w:val="26"/>
        </w:rPr>
        <w:t xml:space="preserve">The only measurement that resulted in a significant reduction of ICC was participation. When included as a Level-2 variable, the dummy code for regular participation reduced </w:t>
      </w:r>
      <w:r w:rsidR="00E5403B">
        <w:rPr>
          <w:szCs w:val="26"/>
        </w:rPr>
        <w:t>the unexplained variance</w:t>
      </w:r>
      <w:r>
        <w:rPr>
          <w:szCs w:val="26"/>
        </w:rPr>
        <w:t xml:space="preserve"> to 0.363, a reduction of 0.141. </w:t>
      </w:r>
      <w:r w:rsidR="00FD177D">
        <w:rPr>
          <w:szCs w:val="26"/>
        </w:rPr>
        <w:t xml:space="preserve">The final variance component summary is given in Table </w:t>
      </w:r>
      <w:r w:rsidR="00D97DAD">
        <w:rPr>
          <w:szCs w:val="26"/>
        </w:rPr>
        <w:t>3</w:t>
      </w:r>
      <w:r w:rsidR="00FD177D">
        <w:rPr>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919"/>
        <w:gridCol w:w="1519"/>
        <w:gridCol w:w="1800"/>
        <w:gridCol w:w="714"/>
        <w:gridCol w:w="1331"/>
        <w:gridCol w:w="1056"/>
      </w:tblGrid>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Random Effect</w:t>
            </w:r>
          </w:p>
        </w:tc>
        <w:tc>
          <w:tcPr>
            <w:tcW w:w="1519"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Standard</w:t>
            </w:r>
            <w:r w:rsidRPr="00CF3D55">
              <w:rPr>
                <w:szCs w:val="26"/>
                <w:lang w:val="en-US"/>
              </w:rPr>
              <w:br/>
              <w:t> Deviation</w:t>
            </w:r>
          </w:p>
        </w:tc>
        <w:tc>
          <w:tcPr>
            <w:tcW w:w="1800"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Variance</w:t>
            </w:r>
            <w:r w:rsidRPr="00CF3D55">
              <w:rPr>
                <w:szCs w:val="26"/>
                <w:lang w:val="en-US"/>
              </w:rPr>
              <w:br/>
              <w:t> Component</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r w:rsidRPr="00CF3D55">
              <w:rPr>
                <w:i/>
                <w:iCs/>
                <w:szCs w:val="26"/>
                <w:lang w:val="en-US"/>
              </w:rPr>
              <w:t>d.f.</w:t>
            </w:r>
          </w:p>
        </w:tc>
        <w:tc>
          <w:tcPr>
            <w:tcW w:w="1331"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χ</w:t>
            </w:r>
            <w:r w:rsidRPr="00CF3D55">
              <w:rPr>
                <w:szCs w:val="26"/>
                <w:vertAlign w:val="superscript"/>
                <w:lang w:val="en-US"/>
              </w:rPr>
              <w:t>2</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i/>
                <w:iCs/>
                <w:szCs w:val="26"/>
                <w:lang w:val="en-US"/>
              </w:rPr>
              <w:t>p</w:t>
            </w:r>
            <w:r w:rsidRPr="00CF3D55">
              <w:rPr>
                <w:szCs w:val="26"/>
                <w:lang w:val="en-US"/>
              </w:rPr>
              <w:t>-value</w:t>
            </w:r>
          </w:p>
        </w:tc>
      </w:tr>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INTRCPT1, </w:t>
            </w:r>
            <w:r w:rsidRPr="00CF3D55">
              <w:rPr>
                <w:i/>
                <w:iCs/>
                <w:szCs w:val="26"/>
                <w:lang w:val="en-US"/>
              </w:rPr>
              <w:t>u</w:t>
            </w:r>
            <w:r w:rsidRPr="00CF3D55">
              <w:rPr>
                <w:i/>
                <w:iCs/>
                <w:szCs w:val="26"/>
                <w:vertAlign w:val="subscript"/>
                <w:lang w:val="en-US"/>
              </w:rPr>
              <w:t>0</w:t>
            </w:r>
          </w:p>
        </w:tc>
        <w:tc>
          <w:tcPr>
            <w:tcW w:w="1519"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2.99581</w:t>
            </w:r>
          </w:p>
        </w:tc>
        <w:tc>
          <w:tcPr>
            <w:tcW w:w="1800"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8.97489</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41</w:t>
            </w:r>
          </w:p>
        </w:tc>
        <w:tc>
          <w:tcPr>
            <w:tcW w:w="1331" w:type="dxa"/>
            <w:tcMar>
              <w:top w:w="0" w:type="dxa"/>
              <w:left w:w="108" w:type="dxa"/>
              <w:bottom w:w="0" w:type="dxa"/>
              <w:right w:w="108" w:type="dxa"/>
            </w:tcMar>
            <w:vAlign w:val="center"/>
            <w:hideMark/>
          </w:tcPr>
          <w:p w:rsidR="00CF3D55" w:rsidRPr="00CF3D55" w:rsidRDefault="00CF3D55" w:rsidP="00CF3D55">
            <w:pPr>
              <w:rPr>
                <w:szCs w:val="26"/>
                <w:lang w:val="en-US"/>
              </w:rPr>
            </w:pPr>
            <w:r>
              <w:rPr>
                <w:szCs w:val="26"/>
                <w:lang w:val="en-US"/>
              </w:rPr>
              <w:t>124.9583</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&lt;0.001</w:t>
            </w:r>
          </w:p>
        </w:tc>
      </w:tr>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level-1, </w:t>
            </w:r>
            <w:r w:rsidRPr="00CF3D55">
              <w:rPr>
                <w:i/>
                <w:iCs/>
                <w:szCs w:val="26"/>
                <w:lang w:val="en-US"/>
              </w:rPr>
              <w:t>r</w:t>
            </w:r>
          </w:p>
        </w:tc>
        <w:tc>
          <w:tcPr>
            <w:tcW w:w="1519"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3.96119</w:t>
            </w:r>
          </w:p>
        </w:tc>
        <w:tc>
          <w:tcPr>
            <w:tcW w:w="1800"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15.69102</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p>
        </w:tc>
        <w:tc>
          <w:tcPr>
            <w:tcW w:w="1331"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p>
        </w:tc>
      </w:tr>
    </w:tbl>
    <w:p w:rsidR="00DC4037" w:rsidRPr="00FD177D" w:rsidRDefault="00DC4037" w:rsidP="00DC4037">
      <w:pPr>
        <w:rPr>
          <w:b/>
          <w:szCs w:val="26"/>
        </w:rPr>
      </w:pPr>
      <w:r w:rsidRPr="00FD177D">
        <w:rPr>
          <w:b/>
          <w:szCs w:val="26"/>
        </w:rPr>
        <w:t xml:space="preserve">Table </w:t>
      </w:r>
      <w:r w:rsidR="00D97DAD">
        <w:rPr>
          <w:b/>
          <w:szCs w:val="26"/>
        </w:rPr>
        <w:t>3</w:t>
      </w:r>
      <w:r w:rsidRPr="00FD177D">
        <w:rPr>
          <w:b/>
          <w:szCs w:val="26"/>
        </w:rPr>
        <w:t>: Growth Model (participation) results</w:t>
      </w:r>
    </w:p>
    <w:p w:rsidR="0016537D" w:rsidRPr="00CF0312" w:rsidRDefault="00686071" w:rsidP="00DC4037">
      <w:pPr>
        <w:rPr>
          <w:szCs w:val="26"/>
        </w:rPr>
      </w:pPr>
      <w:r w:rsidRPr="00344BDD">
        <w:rPr>
          <w:szCs w:val="26"/>
        </w:rPr>
        <w:t>The final estimation of the growth model fixed effects showed that students who regularly participated in the formative prelabs and postlabs were able to answer an average of 5.44 more questions correctly when compared to a student</w:t>
      </w:r>
      <w:r w:rsidR="00956C6D" w:rsidRPr="00344BDD">
        <w:rPr>
          <w:szCs w:val="26"/>
        </w:rPr>
        <w:t xml:space="preserve"> of similar ability who did not regularly participate in the formative assignments (Table </w:t>
      </w:r>
      <w:r w:rsidR="00D97DAD">
        <w:rPr>
          <w:szCs w:val="26"/>
        </w:rPr>
        <w:t>4</w:t>
      </w:r>
      <w:r w:rsidR="00956C6D" w:rsidRPr="00344BDD">
        <w:rPr>
          <w:szCs w:val="26"/>
        </w:rPr>
        <w:t>). The maximum likelihood estimation of the number of significant parameters on the intercept was two, but it was not any of the measur</w:t>
      </w:r>
      <w:r w:rsidR="0016537D">
        <w:rPr>
          <w:szCs w:val="26"/>
        </w:rPr>
        <w:t>es collected as part of the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319"/>
        <w:gridCol w:w="1839"/>
        <w:gridCol w:w="1710"/>
        <w:gridCol w:w="971"/>
        <w:gridCol w:w="1369"/>
        <w:gridCol w:w="1507"/>
      </w:tblGrid>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Fixed Effect</w:t>
            </w:r>
          </w:p>
        </w:tc>
        <w:tc>
          <w:tcPr>
            <w:tcW w:w="1839"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Coefficient</w:t>
            </w:r>
          </w:p>
        </w:tc>
        <w:tc>
          <w:tcPr>
            <w:tcW w:w="1710"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Standard</w:t>
            </w:r>
            <w:r w:rsidRPr="00CF3D55">
              <w:rPr>
                <w:szCs w:val="26"/>
                <w:lang w:val="en-US"/>
              </w:rPr>
              <w:br/>
              <w:t>error</w:t>
            </w:r>
          </w:p>
        </w:tc>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r w:rsidRPr="00CF3D55">
              <w:rPr>
                <w:i/>
                <w:iCs/>
                <w:szCs w:val="26"/>
                <w:lang w:val="en-US"/>
              </w:rPr>
              <w:t>t</w:t>
            </w:r>
            <w:r w:rsidRPr="00CF3D55">
              <w:rPr>
                <w:szCs w:val="26"/>
                <w:lang w:val="en-US"/>
              </w:rPr>
              <w:t>-ratio</w:t>
            </w:r>
          </w:p>
        </w:tc>
        <w:tc>
          <w:tcPr>
            <w:tcW w:w="1369"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Approx.</w:t>
            </w:r>
            <w:r w:rsidRPr="00CF3D55">
              <w:rPr>
                <w:szCs w:val="26"/>
                <w:lang w:val="en-US"/>
              </w:rPr>
              <w:br/>
            </w:r>
            <w:r w:rsidRPr="00CF3D55">
              <w:rPr>
                <w:i/>
                <w:iCs/>
                <w:szCs w:val="26"/>
                <w:lang w:val="en-US"/>
              </w:rPr>
              <w:t>d.f.</w:t>
            </w:r>
          </w:p>
        </w:tc>
        <w:tc>
          <w:tcPr>
            <w:tcW w:w="1507" w:type="dxa"/>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w:t>
            </w:r>
            <w:r w:rsidRPr="00CF3D55">
              <w:rPr>
                <w:i/>
                <w:iCs/>
                <w:szCs w:val="26"/>
                <w:lang w:val="en-US"/>
              </w:rPr>
              <w:t>p</w:t>
            </w:r>
            <w:r w:rsidRPr="00CF3D55">
              <w:rPr>
                <w:szCs w:val="26"/>
                <w:lang w:val="en-US"/>
              </w:rPr>
              <w:t>-value</w:t>
            </w:r>
          </w:p>
        </w:tc>
      </w:tr>
      <w:tr w:rsidR="00CF3D55" w:rsidRPr="00CF3D55" w:rsidTr="00CF3D55">
        <w:tc>
          <w:tcPr>
            <w:tcW w:w="9715" w:type="dxa"/>
            <w:gridSpan w:val="6"/>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For INTRCPT1, </w:t>
            </w:r>
            <w:r w:rsidRPr="00CF3D55">
              <w:rPr>
                <w:i/>
                <w:iCs/>
                <w:szCs w:val="26"/>
                <w:lang w:val="en-US"/>
              </w:rPr>
              <w:t>β</w:t>
            </w:r>
            <w:r w:rsidRPr="00CF3D55">
              <w:rPr>
                <w:i/>
                <w:iCs/>
                <w:szCs w:val="26"/>
                <w:vertAlign w:val="subscript"/>
                <w:lang w:val="en-US"/>
              </w:rPr>
              <w:t>0</w:t>
            </w:r>
          </w:p>
        </w:tc>
      </w:tr>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INTRCPT2, </w:t>
            </w:r>
            <w:r w:rsidRPr="00CF3D55">
              <w:rPr>
                <w:i/>
                <w:iCs/>
                <w:szCs w:val="26"/>
                <w:lang w:val="en-US"/>
              </w:rPr>
              <w:t>γ</w:t>
            </w:r>
            <w:r w:rsidRPr="00CF3D55">
              <w:rPr>
                <w:i/>
                <w:iCs/>
                <w:szCs w:val="26"/>
                <w:vertAlign w:val="subscript"/>
                <w:lang w:val="en-US"/>
              </w:rPr>
              <w:t>00</w:t>
            </w:r>
          </w:p>
        </w:tc>
        <w:tc>
          <w:tcPr>
            <w:tcW w:w="1839"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9.504938</w:t>
            </w:r>
          </w:p>
        </w:tc>
        <w:tc>
          <w:tcPr>
            <w:tcW w:w="1710"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0.963904</w:t>
            </w:r>
          </w:p>
        </w:tc>
        <w:tc>
          <w:tcPr>
            <w:tcW w:w="0" w:type="auto"/>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9.861</w:t>
            </w:r>
          </w:p>
        </w:tc>
        <w:tc>
          <w:tcPr>
            <w:tcW w:w="1369"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41</w:t>
            </w:r>
          </w:p>
        </w:tc>
        <w:tc>
          <w:tcPr>
            <w:tcW w:w="1507"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&lt;0.001</w:t>
            </w:r>
          </w:p>
        </w:tc>
      </w:tr>
      <w:tr w:rsidR="00CF3D55" w:rsidRPr="00CF3D55" w:rsidTr="00CF3D55">
        <w:tc>
          <w:tcPr>
            <w:tcW w:w="0" w:type="auto"/>
            <w:tcMar>
              <w:top w:w="0" w:type="dxa"/>
              <w:left w:w="108" w:type="dxa"/>
              <w:bottom w:w="0" w:type="dxa"/>
              <w:right w:w="108" w:type="dxa"/>
            </w:tcMar>
            <w:vAlign w:val="center"/>
            <w:hideMark/>
          </w:tcPr>
          <w:p w:rsidR="00CF3D55" w:rsidRPr="00CF3D55" w:rsidRDefault="00CF3D55" w:rsidP="00CF3D55">
            <w:pPr>
              <w:rPr>
                <w:szCs w:val="26"/>
                <w:lang w:val="en-US"/>
              </w:rPr>
            </w:pPr>
            <w:r w:rsidRPr="00CF3D55">
              <w:rPr>
                <w:szCs w:val="26"/>
                <w:lang w:val="en-US"/>
              </w:rPr>
              <w:t>     REGULAR, </w:t>
            </w:r>
            <w:r w:rsidRPr="00CF3D55">
              <w:rPr>
                <w:i/>
                <w:iCs/>
                <w:szCs w:val="26"/>
                <w:lang w:val="en-US"/>
              </w:rPr>
              <w:t>γ</w:t>
            </w:r>
            <w:r w:rsidRPr="00CF3D55">
              <w:rPr>
                <w:i/>
                <w:iCs/>
                <w:szCs w:val="26"/>
                <w:vertAlign w:val="subscript"/>
                <w:lang w:val="en-US"/>
              </w:rPr>
              <w:t>01</w:t>
            </w:r>
          </w:p>
        </w:tc>
        <w:tc>
          <w:tcPr>
            <w:tcW w:w="1839"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5.447198</w:t>
            </w:r>
          </w:p>
        </w:tc>
        <w:tc>
          <w:tcPr>
            <w:tcW w:w="1710"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1.139113</w:t>
            </w:r>
          </w:p>
        </w:tc>
        <w:tc>
          <w:tcPr>
            <w:tcW w:w="0" w:type="auto"/>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4.782</w:t>
            </w:r>
          </w:p>
        </w:tc>
        <w:tc>
          <w:tcPr>
            <w:tcW w:w="1369"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41</w:t>
            </w:r>
          </w:p>
        </w:tc>
        <w:tc>
          <w:tcPr>
            <w:tcW w:w="1507" w:type="dxa"/>
            <w:tcMar>
              <w:top w:w="0" w:type="dxa"/>
              <w:left w:w="108" w:type="dxa"/>
              <w:bottom w:w="0" w:type="dxa"/>
              <w:right w:w="108" w:type="dxa"/>
            </w:tcMar>
            <w:vAlign w:val="bottom"/>
            <w:hideMark/>
          </w:tcPr>
          <w:p w:rsidR="00CF3D55" w:rsidRPr="00CF3D55" w:rsidRDefault="00CF3D55" w:rsidP="00CF3D55">
            <w:pPr>
              <w:rPr>
                <w:szCs w:val="26"/>
                <w:lang w:val="en-US"/>
              </w:rPr>
            </w:pPr>
            <w:r w:rsidRPr="00CF3D55">
              <w:rPr>
                <w:szCs w:val="26"/>
                <w:lang w:val="en-US"/>
              </w:rPr>
              <w:t>&lt;0.001</w:t>
            </w:r>
          </w:p>
        </w:tc>
      </w:tr>
    </w:tbl>
    <w:p w:rsidR="00CF3D55" w:rsidRPr="00FD177D" w:rsidRDefault="00CF3D55" w:rsidP="00CF3D55">
      <w:pPr>
        <w:rPr>
          <w:b/>
          <w:szCs w:val="26"/>
        </w:rPr>
      </w:pPr>
      <w:r w:rsidRPr="00FD177D">
        <w:rPr>
          <w:b/>
          <w:szCs w:val="26"/>
        </w:rPr>
        <w:t xml:space="preserve">Table </w:t>
      </w:r>
      <w:r w:rsidR="00D97DAD">
        <w:rPr>
          <w:b/>
          <w:szCs w:val="26"/>
        </w:rPr>
        <w:t>4</w:t>
      </w:r>
      <w:r w:rsidRPr="00FD177D">
        <w:rPr>
          <w:b/>
          <w:szCs w:val="26"/>
        </w:rPr>
        <w:t>: Final estimation of growth model fixed effects</w:t>
      </w:r>
    </w:p>
    <w:p w:rsidR="00911EAB" w:rsidRDefault="00344BDD" w:rsidP="00CF3D55">
      <w:pPr>
        <w:rPr>
          <w:szCs w:val="26"/>
        </w:rPr>
      </w:pPr>
      <w:r>
        <w:rPr>
          <w:szCs w:val="26"/>
        </w:rPr>
        <w:t xml:space="preserve">Regular participation in formative assessments </w:t>
      </w:r>
      <w:r w:rsidR="00066FD3">
        <w:rPr>
          <w:szCs w:val="26"/>
        </w:rPr>
        <w:t xml:space="preserve">also had a significant </w:t>
      </w:r>
      <w:r>
        <w:rPr>
          <w:szCs w:val="26"/>
        </w:rPr>
        <w:t>influence on the rate at which students improved on their lab writeups (</w:t>
      </w:r>
      <w:r w:rsidR="00066FD3">
        <w:rPr>
          <w:szCs w:val="26"/>
        </w:rPr>
        <w:t>Table 5</w:t>
      </w:r>
      <w:r>
        <w:rPr>
          <w:szCs w:val="26"/>
        </w:rPr>
        <w:t xml:space="preserve">). </w:t>
      </w:r>
      <w:r w:rsidR="00066FD3">
        <w:rPr>
          <w:szCs w:val="26"/>
        </w:rPr>
        <w:t>Given the pronounced ceiling effect of the regular participants’ scores, it is not surprising that the slope is relatively small; the regular participants started with relatively high scores and had little room for improvement. However, the near-zero slope value for the non-regular participants does not imply that the irregular participants made no learning gains throughout the semester; rather by the end of the semester these students were able to answer the same questions correctly at the end of the semester on integration that they were able to answer correctly about removable discontinuities in the limits 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2319"/>
        <w:gridCol w:w="1839"/>
        <w:gridCol w:w="1710"/>
        <w:gridCol w:w="971"/>
        <w:gridCol w:w="1369"/>
        <w:gridCol w:w="1507"/>
      </w:tblGrid>
      <w:tr w:rsidR="00911EAB" w:rsidRPr="00CF3D55" w:rsidTr="002F15F9">
        <w:tc>
          <w:tcPr>
            <w:tcW w:w="0" w:type="auto"/>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Fixed Effect</w:t>
            </w:r>
          </w:p>
        </w:tc>
        <w:tc>
          <w:tcPr>
            <w:tcW w:w="1839" w:type="dxa"/>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 Coefficient</w:t>
            </w:r>
          </w:p>
        </w:tc>
        <w:tc>
          <w:tcPr>
            <w:tcW w:w="1710" w:type="dxa"/>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Standard</w:t>
            </w:r>
            <w:r w:rsidRPr="00CF3D55">
              <w:rPr>
                <w:szCs w:val="26"/>
                <w:lang w:val="en-US"/>
              </w:rPr>
              <w:br/>
              <w:t>error</w:t>
            </w:r>
          </w:p>
        </w:tc>
        <w:tc>
          <w:tcPr>
            <w:tcW w:w="0" w:type="auto"/>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 </w:t>
            </w:r>
            <w:r w:rsidRPr="00CF3D55">
              <w:rPr>
                <w:i/>
                <w:iCs/>
                <w:szCs w:val="26"/>
                <w:lang w:val="en-US"/>
              </w:rPr>
              <w:t>t</w:t>
            </w:r>
            <w:r w:rsidRPr="00CF3D55">
              <w:rPr>
                <w:szCs w:val="26"/>
                <w:lang w:val="en-US"/>
              </w:rPr>
              <w:t>-ratio</w:t>
            </w:r>
          </w:p>
        </w:tc>
        <w:tc>
          <w:tcPr>
            <w:tcW w:w="1369" w:type="dxa"/>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 Approx.</w:t>
            </w:r>
            <w:r w:rsidRPr="00CF3D55">
              <w:rPr>
                <w:szCs w:val="26"/>
                <w:lang w:val="en-US"/>
              </w:rPr>
              <w:br/>
            </w:r>
            <w:r w:rsidRPr="00CF3D55">
              <w:rPr>
                <w:i/>
                <w:iCs/>
                <w:szCs w:val="26"/>
                <w:lang w:val="en-US"/>
              </w:rPr>
              <w:t>d.f.</w:t>
            </w:r>
          </w:p>
        </w:tc>
        <w:tc>
          <w:tcPr>
            <w:tcW w:w="1507" w:type="dxa"/>
            <w:tcMar>
              <w:top w:w="0" w:type="dxa"/>
              <w:left w:w="108" w:type="dxa"/>
              <w:bottom w:w="0" w:type="dxa"/>
              <w:right w:w="108" w:type="dxa"/>
            </w:tcMar>
            <w:vAlign w:val="center"/>
            <w:hideMark/>
          </w:tcPr>
          <w:p w:rsidR="00911EAB" w:rsidRPr="00CF3D55" w:rsidRDefault="00911EAB" w:rsidP="002F15F9">
            <w:pPr>
              <w:rPr>
                <w:szCs w:val="26"/>
                <w:lang w:val="en-US"/>
              </w:rPr>
            </w:pPr>
            <w:r w:rsidRPr="00CF3D55">
              <w:rPr>
                <w:szCs w:val="26"/>
                <w:lang w:val="en-US"/>
              </w:rPr>
              <w:t> </w:t>
            </w:r>
            <w:r w:rsidRPr="00CF3D55">
              <w:rPr>
                <w:i/>
                <w:iCs/>
                <w:szCs w:val="26"/>
                <w:lang w:val="en-US"/>
              </w:rPr>
              <w:t>p</w:t>
            </w:r>
            <w:r w:rsidRPr="00CF3D55">
              <w:rPr>
                <w:szCs w:val="26"/>
                <w:lang w:val="en-US"/>
              </w:rPr>
              <w:t>-value</w:t>
            </w:r>
          </w:p>
        </w:tc>
      </w:tr>
      <w:tr w:rsidR="00911EAB" w:rsidRPr="00CF3D55" w:rsidTr="002F15F9">
        <w:tc>
          <w:tcPr>
            <w:tcW w:w="9715" w:type="dxa"/>
            <w:gridSpan w:val="6"/>
            <w:tcMar>
              <w:top w:w="0" w:type="dxa"/>
              <w:left w:w="108" w:type="dxa"/>
              <w:bottom w:w="0" w:type="dxa"/>
              <w:right w:w="108" w:type="dxa"/>
            </w:tcMar>
            <w:vAlign w:val="center"/>
            <w:hideMark/>
          </w:tcPr>
          <w:p w:rsidR="00911EAB" w:rsidRPr="00CF3D55" w:rsidRDefault="00911EAB" w:rsidP="00066FD3">
            <w:pPr>
              <w:rPr>
                <w:szCs w:val="26"/>
                <w:lang w:val="en-US"/>
              </w:rPr>
            </w:pPr>
            <w:r w:rsidRPr="00CF3D55">
              <w:rPr>
                <w:szCs w:val="26"/>
                <w:lang w:val="en-US"/>
              </w:rPr>
              <w:t xml:space="preserve">For </w:t>
            </w:r>
            <w:r w:rsidR="00066FD3">
              <w:rPr>
                <w:szCs w:val="26"/>
                <w:lang w:val="en-US"/>
              </w:rPr>
              <w:t>SLOPE</w:t>
            </w:r>
            <w:r w:rsidRPr="00CF3D55">
              <w:rPr>
                <w:szCs w:val="26"/>
                <w:lang w:val="en-US"/>
              </w:rPr>
              <w:t>, </w:t>
            </w:r>
            <w:r w:rsidRPr="00CF3D55">
              <w:rPr>
                <w:i/>
                <w:iCs/>
                <w:szCs w:val="26"/>
                <w:lang w:val="en-US"/>
              </w:rPr>
              <w:t>β</w:t>
            </w:r>
            <w:r w:rsidR="00066FD3">
              <w:rPr>
                <w:i/>
                <w:iCs/>
                <w:szCs w:val="26"/>
                <w:vertAlign w:val="subscript"/>
                <w:lang w:val="en-US"/>
              </w:rPr>
              <w:t>1</w:t>
            </w:r>
          </w:p>
        </w:tc>
      </w:tr>
      <w:tr w:rsidR="00911EAB" w:rsidRPr="00CF3D55" w:rsidTr="002F15F9">
        <w:tc>
          <w:tcPr>
            <w:tcW w:w="0" w:type="auto"/>
            <w:tcMar>
              <w:top w:w="0" w:type="dxa"/>
              <w:left w:w="108" w:type="dxa"/>
              <w:bottom w:w="0" w:type="dxa"/>
              <w:right w:w="108" w:type="dxa"/>
            </w:tcMar>
            <w:vAlign w:val="center"/>
            <w:hideMark/>
          </w:tcPr>
          <w:p w:rsidR="00911EAB" w:rsidRPr="00CF3D55" w:rsidRDefault="00911EAB" w:rsidP="00066FD3">
            <w:pPr>
              <w:rPr>
                <w:szCs w:val="26"/>
                <w:lang w:val="en-US"/>
              </w:rPr>
            </w:pPr>
            <w:r w:rsidRPr="00CF3D55">
              <w:rPr>
                <w:szCs w:val="26"/>
                <w:lang w:val="en-US"/>
              </w:rPr>
              <w:t>    INTRCPT2, </w:t>
            </w:r>
            <w:r w:rsidRPr="00CF3D55">
              <w:rPr>
                <w:i/>
                <w:iCs/>
                <w:szCs w:val="26"/>
                <w:lang w:val="en-US"/>
              </w:rPr>
              <w:t>γ</w:t>
            </w:r>
            <w:r w:rsidR="00066FD3">
              <w:rPr>
                <w:i/>
                <w:iCs/>
                <w:szCs w:val="26"/>
                <w:vertAlign w:val="subscript"/>
                <w:lang w:val="en-US"/>
              </w:rPr>
              <w:t>1</w:t>
            </w:r>
            <w:r w:rsidRPr="00CF3D55">
              <w:rPr>
                <w:i/>
                <w:iCs/>
                <w:szCs w:val="26"/>
                <w:vertAlign w:val="subscript"/>
                <w:lang w:val="en-US"/>
              </w:rPr>
              <w:t>0</w:t>
            </w:r>
          </w:p>
        </w:tc>
        <w:tc>
          <w:tcPr>
            <w:tcW w:w="1839"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0.064472</w:t>
            </w:r>
          </w:p>
        </w:tc>
        <w:tc>
          <w:tcPr>
            <w:tcW w:w="1710"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0.446211</w:t>
            </w:r>
          </w:p>
        </w:tc>
        <w:tc>
          <w:tcPr>
            <w:tcW w:w="0" w:type="auto"/>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0.144</w:t>
            </w:r>
          </w:p>
        </w:tc>
        <w:tc>
          <w:tcPr>
            <w:tcW w:w="1369"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110</w:t>
            </w:r>
          </w:p>
        </w:tc>
        <w:tc>
          <w:tcPr>
            <w:tcW w:w="1507"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0.885</w:t>
            </w:r>
          </w:p>
        </w:tc>
      </w:tr>
      <w:tr w:rsidR="00911EAB" w:rsidRPr="00CF3D55" w:rsidTr="002F15F9">
        <w:tc>
          <w:tcPr>
            <w:tcW w:w="0" w:type="auto"/>
            <w:tcMar>
              <w:top w:w="0" w:type="dxa"/>
              <w:left w:w="108" w:type="dxa"/>
              <w:bottom w:w="0" w:type="dxa"/>
              <w:right w:w="108" w:type="dxa"/>
            </w:tcMar>
            <w:vAlign w:val="center"/>
            <w:hideMark/>
          </w:tcPr>
          <w:p w:rsidR="00911EAB" w:rsidRPr="00CF3D55" w:rsidRDefault="00911EAB" w:rsidP="00066FD3">
            <w:pPr>
              <w:rPr>
                <w:szCs w:val="26"/>
                <w:lang w:val="en-US"/>
              </w:rPr>
            </w:pPr>
            <w:r w:rsidRPr="00CF3D55">
              <w:rPr>
                <w:szCs w:val="26"/>
                <w:lang w:val="en-US"/>
              </w:rPr>
              <w:t>     REGULAR, </w:t>
            </w:r>
            <w:r w:rsidRPr="00CF3D55">
              <w:rPr>
                <w:i/>
                <w:iCs/>
                <w:szCs w:val="26"/>
                <w:lang w:val="en-US"/>
              </w:rPr>
              <w:t>γ</w:t>
            </w:r>
            <w:r w:rsidR="00066FD3">
              <w:rPr>
                <w:i/>
                <w:iCs/>
                <w:szCs w:val="26"/>
                <w:vertAlign w:val="subscript"/>
                <w:lang w:val="en-US"/>
              </w:rPr>
              <w:t>1</w:t>
            </w:r>
            <w:r w:rsidRPr="00CF3D55">
              <w:rPr>
                <w:i/>
                <w:iCs/>
                <w:szCs w:val="26"/>
                <w:vertAlign w:val="subscript"/>
                <w:lang w:val="en-US"/>
              </w:rPr>
              <w:t>1</w:t>
            </w:r>
          </w:p>
        </w:tc>
        <w:tc>
          <w:tcPr>
            <w:tcW w:w="1839"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1.586417</w:t>
            </w:r>
          </w:p>
        </w:tc>
        <w:tc>
          <w:tcPr>
            <w:tcW w:w="1710"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.521549</w:t>
            </w:r>
          </w:p>
        </w:tc>
        <w:tc>
          <w:tcPr>
            <w:tcW w:w="0" w:type="auto"/>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3.02</w:t>
            </w:r>
          </w:p>
        </w:tc>
        <w:tc>
          <w:tcPr>
            <w:tcW w:w="1369"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110</w:t>
            </w:r>
          </w:p>
        </w:tc>
        <w:tc>
          <w:tcPr>
            <w:tcW w:w="1507" w:type="dxa"/>
            <w:tcMar>
              <w:top w:w="0" w:type="dxa"/>
              <w:left w:w="108" w:type="dxa"/>
              <w:bottom w:w="0" w:type="dxa"/>
              <w:right w:w="108" w:type="dxa"/>
            </w:tcMar>
            <w:vAlign w:val="bottom"/>
            <w:hideMark/>
          </w:tcPr>
          <w:p w:rsidR="00911EAB" w:rsidRPr="00CF3D55" w:rsidRDefault="00066FD3" w:rsidP="002F15F9">
            <w:pPr>
              <w:rPr>
                <w:szCs w:val="26"/>
                <w:lang w:val="en-US"/>
              </w:rPr>
            </w:pPr>
            <w:r>
              <w:rPr>
                <w:szCs w:val="26"/>
                <w:lang w:val="en-US"/>
              </w:rPr>
              <w:t>0.003</w:t>
            </w:r>
          </w:p>
        </w:tc>
      </w:tr>
    </w:tbl>
    <w:p w:rsidR="00911EAB" w:rsidRPr="00911EAB" w:rsidRDefault="00911EAB" w:rsidP="00CF3D55">
      <w:pPr>
        <w:rPr>
          <w:b/>
          <w:szCs w:val="26"/>
        </w:rPr>
      </w:pPr>
      <w:r w:rsidRPr="00FD177D">
        <w:rPr>
          <w:b/>
          <w:szCs w:val="26"/>
        </w:rPr>
        <w:t xml:space="preserve">Table </w:t>
      </w:r>
      <w:r w:rsidR="00066FD3">
        <w:rPr>
          <w:b/>
          <w:szCs w:val="26"/>
        </w:rPr>
        <w:t>5</w:t>
      </w:r>
      <w:r w:rsidRPr="00FD177D">
        <w:rPr>
          <w:b/>
          <w:szCs w:val="26"/>
        </w:rPr>
        <w:t>: Final estimatio</w:t>
      </w:r>
      <w:r>
        <w:rPr>
          <w:b/>
          <w:szCs w:val="26"/>
        </w:rPr>
        <w:t xml:space="preserve">n of growth model </w:t>
      </w:r>
      <w:r w:rsidR="00066FD3">
        <w:rPr>
          <w:b/>
          <w:szCs w:val="26"/>
        </w:rPr>
        <w:t>slope effects</w:t>
      </w:r>
    </w:p>
    <w:p w:rsidR="00CF3D55" w:rsidRDefault="003F439C" w:rsidP="00CF3D55">
      <w:pPr>
        <w:rPr>
          <w:szCs w:val="26"/>
        </w:rPr>
      </w:pPr>
      <w:r>
        <w:rPr>
          <w:szCs w:val="26"/>
        </w:rPr>
        <w:t xml:space="preserve">Although </w:t>
      </w:r>
      <w:r w:rsidR="002F169A">
        <w:rPr>
          <w:szCs w:val="26"/>
        </w:rPr>
        <w:t>the score on the rewrite after accounting for initial score between the two participation groups was not significantly different (</w:t>
      </w:r>
      <w:r w:rsidR="002F169A" w:rsidRPr="002F169A">
        <w:rPr>
          <w:i/>
          <w:szCs w:val="26"/>
        </w:rPr>
        <w:t>p</w:t>
      </w:r>
      <w:r w:rsidR="002F169A">
        <w:rPr>
          <w:szCs w:val="26"/>
        </w:rPr>
        <w:t xml:space="preserve">=0.0501), </w:t>
      </w:r>
      <w:r>
        <w:rPr>
          <w:szCs w:val="26"/>
        </w:rPr>
        <w:t xml:space="preserve">the irregular participants’ </w:t>
      </w:r>
      <w:r w:rsidR="002F169A">
        <w:rPr>
          <w:szCs w:val="26"/>
        </w:rPr>
        <w:t>regression</w:t>
      </w:r>
      <w:r>
        <w:rPr>
          <w:szCs w:val="26"/>
        </w:rPr>
        <w:t xml:space="preserve"> in the subsequent lab indicated that they were not able to apply </w:t>
      </w:r>
      <w:r w:rsidR="004621E9">
        <w:rPr>
          <w:szCs w:val="26"/>
        </w:rPr>
        <w:t xml:space="preserve">all of </w:t>
      </w:r>
      <w:r>
        <w:rPr>
          <w:szCs w:val="26"/>
        </w:rPr>
        <w:t xml:space="preserve">the instructor’s feedback in a new context. </w:t>
      </w:r>
      <w:r w:rsidR="00344BDD">
        <w:rPr>
          <w:szCs w:val="26"/>
        </w:rPr>
        <w:t xml:space="preserve">There is a marked ceiling effect on the final derivative lab </w:t>
      </w:r>
      <w:r w:rsidR="00FC47C6">
        <w:rPr>
          <w:szCs w:val="26"/>
        </w:rPr>
        <w:t xml:space="preserve">and the integration lab </w:t>
      </w:r>
      <w:r w:rsidR="00344BDD">
        <w:rPr>
          <w:szCs w:val="26"/>
        </w:rPr>
        <w:t>for regul</w:t>
      </w:r>
      <w:r w:rsidR="009D1594">
        <w:rPr>
          <w:szCs w:val="26"/>
        </w:rPr>
        <w:t>ar participants</w:t>
      </w:r>
      <w:r w:rsidR="00FC47C6">
        <w:rPr>
          <w:szCs w:val="26"/>
        </w:rPr>
        <w:t xml:space="preserve"> (Figure 2)</w:t>
      </w:r>
      <w:r w:rsidR="009D1594">
        <w:rPr>
          <w:szCs w:val="26"/>
        </w:rPr>
        <w:t xml:space="preserve">, which interview data (Dibbs, 2014) indicated </w:t>
      </w:r>
      <w:r w:rsidR="002F169A">
        <w:rPr>
          <w:szCs w:val="26"/>
        </w:rPr>
        <w:t>was due to nearly complete conceptual acquisition of the limit concepts embedded in the labs</w:t>
      </w:r>
      <w:r w:rsidR="009D1594">
        <w:rPr>
          <w:szCs w:val="26"/>
        </w:rPr>
        <w:t>.</w:t>
      </w:r>
    </w:p>
    <w:p w:rsidR="00FC47C6" w:rsidRDefault="002072E3" w:rsidP="00FC47C6">
      <w:pPr>
        <w:ind w:firstLine="1170"/>
        <w:rPr>
          <w:szCs w:val="26"/>
        </w:rPr>
      </w:pPr>
      <w:bookmarkStart w:id="0" w:name="_GoBack"/>
      <w:bookmarkEnd w:id="0"/>
      <w:r w:rsidRPr="002072E3">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31.35pt;margin-top:135.45pt;width:319.95pt;height:27.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J8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" stroked="f">
            <v:textbox>
              <w:txbxContent>
                <w:p w:rsidR="00FC47C6" w:rsidRPr="003D154B" w:rsidRDefault="00FC47C6" w:rsidP="00FC47C6">
                  <w:pPr>
                    <w:rPr>
                      <w:sz w:val="22"/>
                    </w:rPr>
                  </w:pPr>
                  <w:r w:rsidRPr="003D154B">
                    <w:rPr>
                      <w:sz w:val="22"/>
                    </w:rPr>
                    <w:t>Weeks from first approximation lab</w:t>
                  </w:r>
                  <w:r w:rsidR="003F439C">
                    <w:rPr>
                      <w:sz w:val="22"/>
                    </w:rPr>
                    <w:t xml:space="preserve"> (left: regular; right: irregular)</w:t>
                  </w:r>
                </w:p>
              </w:txbxContent>
            </v:textbox>
          </v:shape>
        </w:pict>
      </w:r>
      <w:r>
        <w:rPr>
          <w:noProof/>
          <w:szCs w:val="26"/>
          <w:lang w:val="en-US"/>
        </w:rPr>
        <w:pict>
          <v:shape id="_x0000_s1027" type="#_x0000_t202" style="position:absolute;left:0;text-align:left;margin-left:22.55pt;margin-top:31.3pt;width:17.55pt;height:1in;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" stroked="f">
            <v:textbox style="mso-fit-shape-to-text:t">
              <w:txbxContent>
                <w:p w:rsidR="00FC47C6" w:rsidRPr="003D154B" w:rsidRDefault="00FC47C6" w:rsidP="00FC47C6">
                  <w:pPr>
                    <w:spacing w:after="0" w:line="240" w:lineRule="auto"/>
                    <w:rPr>
                      <w:sz w:val="22"/>
                    </w:rPr>
                  </w:pPr>
                  <w:r w:rsidRPr="003D154B">
                    <w:rPr>
                      <w:sz w:val="22"/>
                    </w:rPr>
                    <w:t>S</w:t>
                  </w:r>
                </w:p>
                <w:p w:rsidR="00FC47C6" w:rsidRPr="003D154B" w:rsidRDefault="00FC47C6" w:rsidP="00FC47C6">
                  <w:pPr>
                    <w:spacing w:after="0" w:line="240" w:lineRule="auto"/>
                    <w:rPr>
                      <w:sz w:val="22"/>
                    </w:rPr>
                  </w:pPr>
                  <w:r w:rsidRPr="003D154B">
                    <w:rPr>
                      <w:sz w:val="22"/>
                    </w:rPr>
                    <w:t>c</w:t>
                  </w:r>
                </w:p>
                <w:p w:rsidR="00FC47C6" w:rsidRPr="003D154B" w:rsidRDefault="00FC47C6" w:rsidP="00FC47C6">
                  <w:pPr>
                    <w:spacing w:after="0" w:line="240" w:lineRule="auto"/>
                    <w:rPr>
                      <w:sz w:val="22"/>
                    </w:rPr>
                  </w:pPr>
                  <w:r w:rsidRPr="003D154B">
                    <w:rPr>
                      <w:sz w:val="22"/>
                    </w:rPr>
                    <w:t>o</w:t>
                  </w:r>
                </w:p>
                <w:p w:rsidR="00FC47C6" w:rsidRPr="003D154B" w:rsidRDefault="00FC47C6" w:rsidP="00FC47C6">
                  <w:pPr>
                    <w:spacing w:after="0" w:line="240" w:lineRule="auto"/>
                    <w:rPr>
                      <w:sz w:val="22"/>
                    </w:rPr>
                  </w:pPr>
                  <w:r w:rsidRPr="003D154B">
                    <w:rPr>
                      <w:sz w:val="22"/>
                    </w:rPr>
                    <w:t>r</w:t>
                  </w:r>
                </w:p>
                <w:p w:rsidR="00FC47C6" w:rsidRDefault="00FC47C6" w:rsidP="00FC47C6">
                  <w:pPr>
                    <w:spacing w:after="0" w:line="240" w:lineRule="auto"/>
                  </w:pPr>
                  <w:r w:rsidRPr="003D154B">
                    <w:rPr>
                      <w:sz w:val="22"/>
                    </w:rPr>
                    <w:t>e</w:t>
                  </w:r>
                </w:p>
              </w:txbxContent>
            </v:textbox>
          </v:shape>
        </w:pict>
      </w:r>
      <w:r w:rsidR="007C46A7">
        <w:rPr>
          <w:noProof/>
          <w:szCs w:val="26"/>
          <w:lang w:val="en-US"/>
        </w:rPr>
        <w:drawing>
          <wp:inline distT="0" distB="0" distL="0" distR="0">
            <wp:extent cx="2493010" cy="16535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0924"/>
                    <a:stretch>
                      <a:fillRect/>
                    </a:stretch>
                  </pic:blipFill>
                  <pic:spPr bwMode="auto">
                    <a:xfrm>
                      <a:off x="0" y="0"/>
                      <a:ext cx="2493010" cy="1653540"/>
                    </a:xfrm>
                    <a:prstGeom prst="rect">
                      <a:avLst/>
                    </a:prstGeom>
                    <a:noFill/>
                  </pic:spPr>
                </pic:pic>
              </a:graphicData>
            </a:graphic>
          </wp:inline>
        </w:drawing>
      </w:r>
      <w:r w:rsidR="007C46A7">
        <w:rPr>
          <w:noProof/>
          <w:szCs w:val="26"/>
          <w:lang w:val="en-US"/>
        </w:rPr>
        <w:drawing>
          <wp:inline distT="0" distB="0" distL="0" distR="0">
            <wp:extent cx="2493010" cy="157035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6748"/>
                    <a:stretch>
                      <a:fillRect/>
                    </a:stretch>
                  </pic:blipFill>
                  <pic:spPr bwMode="auto">
                    <a:xfrm>
                      <a:off x="0" y="0"/>
                      <a:ext cx="2493010" cy="1570355"/>
                    </a:xfrm>
                    <a:prstGeom prst="rect">
                      <a:avLst/>
                    </a:prstGeom>
                    <a:noFill/>
                  </pic:spPr>
                </pic:pic>
              </a:graphicData>
            </a:graphic>
          </wp:inline>
        </w:drawing>
      </w:r>
    </w:p>
    <w:p w:rsidR="00FC47C6" w:rsidRPr="001D1982" w:rsidRDefault="00FC47C6" w:rsidP="001D1982">
      <w:pPr>
        <w:ind w:firstLine="1170"/>
        <w:rPr>
          <w:szCs w:val="26"/>
        </w:rPr>
      </w:pPr>
    </w:p>
    <w:p w:rsidR="00CF3D55" w:rsidRPr="00344BDD" w:rsidRDefault="00CF3D55" w:rsidP="00344BDD">
      <w:pPr>
        <w:autoSpaceDE/>
        <w:autoSpaceDN/>
        <w:rPr>
          <w:b/>
          <w:bCs/>
          <w:color w:val="000000"/>
          <w:lang w:val="en-US"/>
        </w:rPr>
      </w:pPr>
      <w:r w:rsidRPr="00515E02">
        <w:rPr>
          <w:b/>
          <w:bCs/>
          <w:lang w:val="en-US"/>
        </w:rPr>
        <w:t xml:space="preserve">Figure </w:t>
      </w:r>
      <w:r>
        <w:rPr>
          <w:b/>
          <w:bCs/>
          <w:lang w:val="en-US"/>
        </w:rPr>
        <w:t>2:</w:t>
      </w:r>
      <w:r w:rsidR="00FC47C6">
        <w:rPr>
          <w:b/>
          <w:bCs/>
          <w:lang w:val="en-US"/>
        </w:rPr>
        <w:t>Growth trajectories by participation</w:t>
      </w:r>
    </w:p>
    <w:p w:rsidR="00943879" w:rsidRDefault="00943879" w:rsidP="00943879">
      <w:pPr>
        <w:pStyle w:val="Heading2"/>
      </w:pPr>
      <w:r>
        <w:t>DISCUSSION</w:t>
      </w:r>
    </w:p>
    <w:p w:rsidR="00DC59EC" w:rsidRPr="00BF13BD" w:rsidRDefault="00DC59EC" w:rsidP="00DC59EC">
      <w:pPr>
        <w:rPr>
          <w:lang w:val="en-US"/>
        </w:rPr>
      </w:pPr>
      <w:r w:rsidRPr="00BF13BD">
        <w:rPr>
          <w:lang w:val="en-US"/>
        </w:rPr>
        <w:t>The results of the study indicate that the students not participating in formative assessments are able to answer fewer questions on average than those students that do participate in the formative assessments</w:t>
      </w:r>
      <w:r w:rsidR="00BF13BD" w:rsidRPr="00BF13BD">
        <w:rPr>
          <w:lang w:val="en-US"/>
        </w:rPr>
        <w:t>, and improve at a slower rate throughout the semester</w:t>
      </w:r>
      <w:r w:rsidRPr="00BF13BD">
        <w:rPr>
          <w:lang w:val="en-US"/>
        </w:rPr>
        <w:t xml:space="preserve">. This is surprising because the students that did not complete any formative assessments attended class for the post-lab based instruction on the day after lab, and the students that did no formative assessments did not have significantly lower levels of prerequisites knowledge than those students participating in the formative prelabs and postlabs. </w:t>
      </w:r>
      <w:r w:rsidR="00C8167D">
        <w:rPr>
          <w:lang w:val="en-US"/>
        </w:rPr>
        <w:t>Although this study has a relatively small sample size, this analysis show</w:t>
      </w:r>
      <w:r w:rsidR="0052498B">
        <w:rPr>
          <w:lang w:val="en-US"/>
        </w:rPr>
        <w:t>ed</w:t>
      </w:r>
      <w:r w:rsidR="00C8167D">
        <w:rPr>
          <w:lang w:val="en-US"/>
        </w:rPr>
        <w:t xml:space="preserve"> that regular particip</w:t>
      </w:r>
      <w:r w:rsidR="0052498B">
        <w:rPr>
          <w:lang w:val="en-US"/>
        </w:rPr>
        <w:t>ationaccounts for 28% of the interclass correlation.</w:t>
      </w:r>
    </w:p>
    <w:p w:rsidR="000A035D" w:rsidRPr="00E454FC" w:rsidRDefault="00DC59EC" w:rsidP="00DC59EC">
      <w:pPr>
        <w:rPr>
          <w:lang w:val="en-US"/>
        </w:rPr>
      </w:pPr>
      <w:r w:rsidRPr="000A035D">
        <w:rPr>
          <w:lang w:val="en-US"/>
        </w:rPr>
        <w:t xml:space="preserve">While these results indicated that there were measurable achievement differences between </w:t>
      </w:r>
      <w:r w:rsidR="00BF13BD" w:rsidRPr="000A035D">
        <w:rPr>
          <w:lang w:val="en-US"/>
        </w:rPr>
        <w:t>the growth trajectory of those students who participated regularly in formative assessments</w:t>
      </w:r>
      <w:r w:rsidR="000A035D" w:rsidRPr="000A035D">
        <w:rPr>
          <w:lang w:val="en-US"/>
        </w:rPr>
        <w:t xml:space="preserve"> and those that did not</w:t>
      </w:r>
      <w:r w:rsidRPr="000A035D">
        <w:rPr>
          <w:lang w:val="en-US"/>
        </w:rPr>
        <w:t xml:space="preserve">, the </w:t>
      </w:r>
      <w:r w:rsidR="00BF13BD" w:rsidRPr="000A035D">
        <w:rPr>
          <w:lang w:val="en-US"/>
        </w:rPr>
        <w:t>analysis also suggested that there were two significant student level factors in the data</w:t>
      </w:r>
      <w:r w:rsidR="000A035D" w:rsidRPr="000A035D">
        <w:rPr>
          <w:lang w:val="en-US"/>
        </w:rPr>
        <w:t xml:space="preserve">. Since there were no significant differences on any academic preparation measures for the participants in this study, this </w:t>
      </w:r>
      <w:r w:rsidR="000A035D" w:rsidRPr="00E454FC">
        <w:rPr>
          <w:lang w:val="en-US"/>
        </w:rPr>
        <w:t xml:space="preserve">suggests that the missing factor in this model is </w:t>
      </w:r>
      <w:r w:rsidR="000C5822">
        <w:rPr>
          <w:lang w:val="en-US"/>
        </w:rPr>
        <w:t xml:space="preserve">not </w:t>
      </w:r>
      <w:r w:rsidR="000A035D" w:rsidRPr="00E454FC">
        <w:rPr>
          <w:lang w:val="en-US"/>
        </w:rPr>
        <w:t xml:space="preserve">prerequisite mathematical knowledge. </w:t>
      </w:r>
      <w:r w:rsidR="000C5822">
        <w:rPr>
          <w:lang w:val="en-US"/>
        </w:rPr>
        <w:t xml:space="preserve">However, </w:t>
      </w:r>
      <w:r w:rsidR="006C558E">
        <w:rPr>
          <w:lang w:val="en-US"/>
        </w:rPr>
        <w:t>given that prerequisite mathematical knowledge is almost always an important factor, further research on the inclusion of this variable or the use of propensity scores in the model is warranted.</w:t>
      </w:r>
    </w:p>
    <w:p w:rsidR="000A035D" w:rsidRPr="000C7E0E" w:rsidRDefault="000A035D" w:rsidP="00DC59EC">
      <w:pPr>
        <w:rPr>
          <w:lang w:val="en-US"/>
        </w:rPr>
      </w:pPr>
      <w:r w:rsidRPr="00E454FC">
        <w:rPr>
          <w:lang w:val="en-US"/>
        </w:rPr>
        <w:t>One possible explanation</w:t>
      </w:r>
      <w:r w:rsidRPr="000C7E0E">
        <w:rPr>
          <w:lang w:val="en-US"/>
        </w:rPr>
        <w:t xml:space="preserve"> is calibration differences between regular and irregular participants in formative assessment</w:t>
      </w:r>
      <w:r w:rsidR="00DC59EC" w:rsidRPr="000C7E0E">
        <w:rPr>
          <w:lang w:val="en-US"/>
        </w:rPr>
        <w:t>. Calibration is considered to be a general metacognitive skill; it is the ability of a learner to accurately assess what they do and do not know (Hacker, Dunlosky, &amp; Graesser, 1998). In this study, the opportunity for calibration occurred on the limits, first derivativ</w:t>
      </w:r>
      <w:r w:rsidRPr="000C7E0E">
        <w:rPr>
          <w:lang w:val="en-US"/>
        </w:rPr>
        <w:t xml:space="preserve">e lab, and the definite lab, and it is plausible that the regular participants in the formative assessments are better at identifying the areas in which they need additional help. </w:t>
      </w:r>
    </w:p>
    <w:p w:rsidR="00344BDD" w:rsidRPr="00344BDD" w:rsidRDefault="000C7E0E" w:rsidP="00344BDD">
      <w:pPr>
        <w:rPr>
          <w:lang w:val="en-US"/>
        </w:rPr>
      </w:pPr>
      <w:r w:rsidRPr="000C7E0E">
        <w:rPr>
          <w:lang w:val="en-US"/>
        </w:rPr>
        <w:t xml:space="preserve">There is some support for this supposition in the data. In every lab </w:t>
      </w:r>
      <w:r w:rsidR="00DC59EC" w:rsidRPr="000C7E0E">
        <w:rPr>
          <w:lang w:val="en-US"/>
        </w:rPr>
        <w:t xml:space="preserve">there was a set of questions that no student asked about on their postlabs. Since none of the students asked for help on the post-lab for these items, an item </w:t>
      </w:r>
      <w:r w:rsidRPr="000C7E0E">
        <w:rPr>
          <w:lang w:val="en-US"/>
        </w:rPr>
        <w:t xml:space="preserve">was considered </w:t>
      </w:r>
      <w:r w:rsidR="00DC59EC" w:rsidRPr="000C7E0E">
        <w:rPr>
          <w:lang w:val="en-US"/>
        </w:rPr>
        <w:t xml:space="preserve">to be well-calibrated if the student </w:t>
      </w:r>
      <w:r w:rsidRPr="000C7E0E">
        <w:rPr>
          <w:lang w:val="en-US"/>
        </w:rPr>
        <w:t xml:space="preserve">produced the correct solution. </w:t>
      </w:r>
      <w:r w:rsidR="00DC59EC" w:rsidRPr="000C7E0E">
        <w:rPr>
          <w:lang w:val="en-US"/>
        </w:rPr>
        <w:t xml:space="preserve">In the labs, the statistical evidence for differences in calibration is not clear. </w:t>
      </w:r>
      <w:r w:rsidRPr="000C7E0E">
        <w:rPr>
          <w:lang w:val="en-US"/>
        </w:rPr>
        <w:t>The regular participants did answer significantly more of these items correctly, but there were no formal investigations of calibration during this study.</w:t>
      </w:r>
      <w:r w:rsidR="00DC59EC" w:rsidRPr="000C7E0E">
        <w:rPr>
          <w:lang w:val="en-US"/>
        </w:rPr>
        <w:t xml:space="preserve">Whether </w:t>
      </w:r>
      <w:r>
        <w:rPr>
          <w:lang w:val="en-US"/>
        </w:rPr>
        <w:t xml:space="preserve">pattern of responses is </w:t>
      </w:r>
      <w:r w:rsidR="00DC59EC" w:rsidRPr="000C7E0E">
        <w:rPr>
          <w:lang w:val="en-US"/>
        </w:rPr>
        <w:t xml:space="preserve">because completing formative assessments on a regular basis helped </w:t>
      </w:r>
      <w:r>
        <w:rPr>
          <w:lang w:val="en-US"/>
        </w:rPr>
        <w:t xml:space="preserve">students </w:t>
      </w:r>
      <w:r w:rsidR="00DC59EC" w:rsidRPr="000C7E0E">
        <w:rPr>
          <w:lang w:val="en-US"/>
        </w:rPr>
        <w:t>maintain a high calibration level or if the formative assessments helped students improve their calibration throughout the semester is an area for future research.</w:t>
      </w:r>
    </w:p>
    <w:p w:rsidR="00D45E60" w:rsidRDefault="00D45E60">
      <w:pPr>
        <w:pStyle w:val="FigTitle"/>
      </w:pPr>
      <w:r>
        <w:t>NOTES</w:t>
      </w:r>
    </w:p>
    <w:p w:rsidR="003740B8" w:rsidRDefault="00D45E60" w:rsidP="00D45E60">
      <w:pPr>
        <w:pStyle w:val="Endnote"/>
        <w:numPr>
          <w:ilvl w:val="0"/>
          <w:numId w:val="1"/>
        </w:numPr>
        <w:rPr>
          <w:szCs w:val="20"/>
          <w:lang w:val="en-US"/>
        </w:rPr>
      </w:pPr>
      <w:r w:rsidRPr="00D45E60">
        <w:rPr>
          <w:szCs w:val="20"/>
          <w:lang w:val="en-US"/>
        </w:rPr>
        <w:t>Age, race, native language, and year in school showed no significant difference on a Chi-Square test. GPA, Math GPA, ACT Math Score, Math GPA, the pre-calculus skills test administered the second day of class, and time elapsed since the previous mathematics course showed no significant differences using Mood’s median test.</w:t>
      </w:r>
    </w:p>
    <w:p w:rsidR="00E5403B" w:rsidRDefault="00E5403B" w:rsidP="00D45E60">
      <w:pPr>
        <w:pStyle w:val="Endnote"/>
        <w:numPr>
          <w:ilvl w:val="0"/>
          <w:numId w:val="1"/>
        </w:numPr>
        <w:rPr>
          <w:szCs w:val="20"/>
          <w:lang w:val="en-US"/>
        </w:rPr>
      </w:pPr>
      <w:r>
        <w:rPr>
          <w:szCs w:val="20"/>
          <w:lang w:val="en-US"/>
        </w:rPr>
        <w:t>AP Calculus is a one year introductory calculus course generally taught in the last year of high school. The content of this course is the same as the content in the one semester introductory calculus course. Students may elect to take the AP exam at the end of the year. Passing the AP exam (a nationally administered standardized test) would allow students to earn college credit for introductory calculus. Students in introductory calculus who took AP Calculus in high school did not take</w:t>
      </w:r>
      <w:r w:rsidR="00A329BF">
        <w:rPr>
          <w:szCs w:val="20"/>
          <w:lang w:val="en-US"/>
        </w:rPr>
        <w:t>/</w:t>
      </w:r>
      <w:r>
        <w:rPr>
          <w:szCs w:val="20"/>
          <w:lang w:val="en-US"/>
        </w:rPr>
        <w:t xml:space="preserve"> did not pass th</w:t>
      </w:r>
      <w:r w:rsidR="00A329BF">
        <w:rPr>
          <w:szCs w:val="20"/>
          <w:lang w:val="en-US"/>
        </w:rPr>
        <w:t>is</w:t>
      </w:r>
      <w:r>
        <w:rPr>
          <w:szCs w:val="20"/>
          <w:lang w:val="en-US"/>
        </w:rPr>
        <w:t xml:space="preserve"> exam.</w:t>
      </w:r>
    </w:p>
    <w:p w:rsidR="00A91D6A" w:rsidRDefault="00A91D6A" w:rsidP="00D45E60">
      <w:pPr>
        <w:pStyle w:val="Endnote"/>
        <w:numPr>
          <w:ilvl w:val="0"/>
          <w:numId w:val="1"/>
        </w:numPr>
        <w:rPr>
          <w:szCs w:val="20"/>
          <w:lang w:val="en-US"/>
        </w:rPr>
      </w:pPr>
      <w:r>
        <w:rPr>
          <w:szCs w:val="20"/>
          <w:lang w:val="en-US"/>
        </w:rPr>
        <w:t xml:space="preserve">A Null </w:t>
      </w:r>
      <w:r w:rsidR="003613F6">
        <w:rPr>
          <w:szCs w:val="20"/>
          <w:lang w:val="en-US"/>
        </w:rPr>
        <w:t xml:space="preserve">Model assumes that the intercept and slope are both constant for all participants </w:t>
      </w:r>
      <w:r w:rsidR="00CF0312">
        <w:rPr>
          <w:szCs w:val="20"/>
          <w:lang w:val="en-US"/>
        </w:rPr>
        <w:t>Failure to</w:t>
      </w:r>
      <w:r w:rsidR="003613F6">
        <w:rPr>
          <w:szCs w:val="20"/>
          <w:lang w:val="en-US"/>
        </w:rPr>
        <w:t xml:space="preserve"> reject this test indicates repeated measures ANOVA to be the appropriate test.</w:t>
      </w:r>
    </w:p>
    <w:p w:rsidR="00E5403B" w:rsidRPr="00D45E60" w:rsidRDefault="00A329BF" w:rsidP="00D45E60">
      <w:pPr>
        <w:pStyle w:val="Endnote"/>
        <w:numPr>
          <w:ilvl w:val="0"/>
          <w:numId w:val="1"/>
        </w:numPr>
        <w:rPr>
          <w:szCs w:val="20"/>
          <w:lang w:val="en-US"/>
        </w:rPr>
      </w:pPr>
      <w:r>
        <w:rPr>
          <w:szCs w:val="20"/>
          <w:lang w:val="en-US"/>
        </w:rPr>
        <w:t>HLM</w:t>
      </w:r>
      <w:r w:rsidR="00E5403B">
        <w:rPr>
          <w:szCs w:val="20"/>
          <w:lang w:val="en-US"/>
        </w:rPr>
        <w:t xml:space="preserve"> reports unexplained variance rather than </w:t>
      </w:r>
      <w:r w:rsidR="00E5403B" w:rsidRPr="00E5403B">
        <w:rPr>
          <w:i/>
          <w:szCs w:val="20"/>
          <w:lang w:val="en-US"/>
        </w:rPr>
        <w:t>R</w:t>
      </w:r>
      <w:r w:rsidR="00E5403B" w:rsidRPr="00E5403B">
        <w:rPr>
          <w:szCs w:val="20"/>
          <w:vertAlign w:val="superscript"/>
          <w:lang w:val="en-US"/>
        </w:rPr>
        <w:t>2</w:t>
      </w:r>
      <w:r w:rsidR="00E5403B">
        <w:rPr>
          <w:szCs w:val="20"/>
          <w:lang w:val="en-US"/>
        </w:rPr>
        <w:t>. The unexplained variance is 1-</w:t>
      </w:r>
      <w:r w:rsidR="00E5403B" w:rsidRPr="00E5403B">
        <w:rPr>
          <w:i/>
          <w:szCs w:val="20"/>
          <w:lang w:val="en-US"/>
        </w:rPr>
        <w:t>R</w:t>
      </w:r>
      <w:r w:rsidR="00E5403B" w:rsidRPr="00E5403B">
        <w:rPr>
          <w:szCs w:val="20"/>
          <w:vertAlign w:val="superscript"/>
          <w:lang w:val="en-US"/>
        </w:rPr>
        <w:t>2</w:t>
      </w:r>
      <w:r w:rsidR="00E5403B">
        <w:rPr>
          <w:szCs w:val="20"/>
          <w:lang w:val="en-US"/>
        </w:rPr>
        <w:t>.</w:t>
      </w:r>
    </w:p>
    <w:p w:rsidR="003740B8" w:rsidRDefault="003740B8">
      <w:pPr>
        <w:pStyle w:val="Heading2"/>
      </w:pPr>
      <w:r>
        <w:t>REFERENCES</w:t>
      </w:r>
    </w:p>
    <w:p w:rsidR="00B7564E" w:rsidRDefault="00B7564E" w:rsidP="00B7564E">
      <w:pPr>
        <w:ind w:left="708"/>
      </w:pPr>
      <w:r>
        <w:t xml:space="preserve">Black, P., &amp; Wiliam, D. (2009). Developing the theory of formative assessment. </w:t>
      </w:r>
      <w:r w:rsidRPr="006C558E">
        <w:rPr>
          <w:i/>
        </w:rPr>
        <w:t>Educational Assessment, Evaluation, and Accountability</w:t>
      </w:r>
      <w:r>
        <w:t>, 21(1), 5-31.</w:t>
      </w:r>
    </w:p>
    <w:p w:rsidR="00B7564E" w:rsidRDefault="00B7564E" w:rsidP="00B7564E">
      <w:pPr>
        <w:ind w:left="708"/>
      </w:pPr>
      <w:r>
        <w:t xml:space="preserve">Briggs, D. C., Ruiz-Primo, M. A., Furtak, E., Shepard, L., &amp; Yin, Y. (in press). Meta-Analytic Methodology and Conclusions about the Efficacy of Formative Assessment. To appear in </w:t>
      </w:r>
      <w:r w:rsidRPr="000C5822">
        <w:rPr>
          <w:i/>
        </w:rPr>
        <w:t>Educational Measurement: Issues and Practices</w:t>
      </w:r>
      <w:r>
        <w:t>.</w:t>
      </w:r>
    </w:p>
    <w:p w:rsidR="00687079" w:rsidRDefault="00687079" w:rsidP="00B7564E">
      <w:pPr>
        <w:ind w:left="708"/>
      </w:pPr>
      <w:r w:rsidRPr="00687079">
        <w:t>Cabrera, N. L., Miner, D. D., &amp; Milem, J. F. (2013). Can a summer bridge program impact first-year persistence and performance?: A case study of the New Start Summer Program. </w:t>
      </w:r>
      <w:r w:rsidRPr="00687079">
        <w:rPr>
          <w:i/>
          <w:iCs/>
        </w:rPr>
        <w:t>Research in Higher Education</w:t>
      </w:r>
      <w:r w:rsidRPr="00687079">
        <w:t>, </w:t>
      </w:r>
      <w:r w:rsidRPr="00687079">
        <w:rPr>
          <w:i/>
          <w:iCs/>
        </w:rPr>
        <w:t>54</w:t>
      </w:r>
      <w:r w:rsidRPr="00687079">
        <w:t>(5), 481-498.</w:t>
      </w:r>
    </w:p>
    <w:p w:rsidR="00687079" w:rsidRDefault="00687079" w:rsidP="00B7564E">
      <w:pPr>
        <w:ind w:left="708"/>
      </w:pPr>
      <w:r>
        <w:t>Dibbs, R.A. (2014). Formative assessment and students’ Zone of Proximal Development in introductory calculus. (Doctoral dissertation, University of Northern Colorado).</w:t>
      </w:r>
    </w:p>
    <w:p w:rsidR="00B7564E" w:rsidRDefault="00B7564E" w:rsidP="00B7564E">
      <w:pPr>
        <w:ind w:left="708"/>
      </w:pPr>
      <w:r>
        <w:t xml:space="preserve">DiPrete, T. A. (2013). </w:t>
      </w:r>
      <w:r w:rsidRPr="006C558E">
        <w:rPr>
          <w:i/>
        </w:rPr>
        <w:t>The Rise of Women: The Growing Gender Gap in Education and what it Means for American Schools</w:t>
      </w:r>
      <w:r>
        <w:t>. Russell Sage Foundation.</w:t>
      </w:r>
    </w:p>
    <w:p w:rsidR="00FC2A61" w:rsidRDefault="00FC2A61" w:rsidP="00B7564E">
      <w:pPr>
        <w:ind w:left="708"/>
      </w:pPr>
      <w:r w:rsidRPr="00FC2A61">
        <w:t>Ellis, J., Kelton, M. L., &amp; Rasmussen, C. (2014). Student perceptions of pedagogy and associated persistence in calculus. </w:t>
      </w:r>
      <w:r w:rsidRPr="00FC2A61">
        <w:rPr>
          <w:i/>
          <w:iCs/>
        </w:rPr>
        <w:t>ZDM</w:t>
      </w:r>
      <w:r w:rsidRPr="00FC2A61">
        <w:t>, 1-13.</w:t>
      </w:r>
    </w:p>
    <w:p w:rsidR="00B7564E" w:rsidRDefault="00B7564E" w:rsidP="00B7564E">
      <w:pPr>
        <w:ind w:left="708"/>
      </w:pPr>
      <w:r>
        <w:t xml:space="preserve">Gall, M.D., Gall. J.P., &amp; Borg, W.R. (2007). </w:t>
      </w:r>
      <w:r w:rsidRPr="006C558E">
        <w:rPr>
          <w:i/>
        </w:rPr>
        <w:t>Educational research</w:t>
      </w:r>
      <w:r>
        <w:t xml:space="preserve"> (8th ed.). New York: Pearson.</w:t>
      </w:r>
    </w:p>
    <w:p w:rsidR="000A035D" w:rsidRPr="000A035D" w:rsidRDefault="000A035D" w:rsidP="000A035D">
      <w:pPr>
        <w:ind w:left="708"/>
        <w:rPr>
          <w:lang w:val="en-US"/>
        </w:rPr>
      </w:pPr>
      <w:r w:rsidRPr="000A035D">
        <w:rPr>
          <w:lang w:val="en-US"/>
        </w:rPr>
        <w:t>Hacker, D. J., Dunlosky, J. E., &amp; Graesser, A. C. (1998). </w:t>
      </w:r>
      <w:r w:rsidRPr="000A035D">
        <w:rPr>
          <w:i/>
          <w:iCs/>
          <w:lang w:val="en-US"/>
        </w:rPr>
        <w:t>Metacognition in educational theory and practice</w:t>
      </w:r>
      <w:r w:rsidRPr="000A035D">
        <w:rPr>
          <w:lang w:val="en-US"/>
        </w:rPr>
        <w:t>. Lawrence Erlbaum Associates Publishers.</w:t>
      </w:r>
    </w:p>
    <w:p w:rsidR="00B7564E" w:rsidRDefault="00B7564E" w:rsidP="00B7564E">
      <w:pPr>
        <w:ind w:left="708"/>
      </w:pPr>
      <w:r>
        <w:t xml:space="preserve">Karpinski, A. C., &amp; D’Agostino, J. V. (2012). The role of formative assessment in student achievement. </w:t>
      </w:r>
      <w:r w:rsidRPr="006C558E">
        <w:rPr>
          <w:i/>
        </w:rPr>
        <w:t>International Guide to Student Achievement</w:t>
      </w:r>
      <w:r>
        <w:t>, 202.</w:t>
      </w:r>
    </w:p>
    <w:p w:rsidR="00B7564E" w:rsidRDefault="00B7564E" w:rsidP="00B7564E">
      <w:pPr>
        <w:ind w:left="708"/>
      </w:pPr>
      <w:r>
        <w:t xml:space="preserve">Oehrtman, M. (2008). Layers of Abstraction:  Theory and Design for the Instruction of Limit  Concepts. In M. Carlson &amp; C. Rasmussen (Eds.), </w:t>
      </w:r>
      <w:r w:rsidRPr="006C558E">
        <w:rPr>
          <w:i/>
        </w:rPr>
        <w:t>Making the Connection:  Research and Practice in Undergraduate Mathematics</w:t>
      </w:r>
      <w:r>
        <w:t xml:space="preserve"> (pp. 65-79). Washington, DC: MAA.</w:t>
      </w:r>
    </w:p>
    <w:p w:rsidR="00B7564E" w:rsidRDefault="00B7564E" w:rsidP="00B7564E">
      <w:pPr>
        <w:ind w:left="708"/>
      </w:pPr>
      <w:r>
        <w:t xml:space="preserve">Oehrtman, M. (2009). Collapsing dimensions, physical limitation, and other student metaphors for limit concepts. </w:t>
      </w:r>
      <w:r w:rsidRPr="006C558E">
        <w:rPr>
          <w:i/>
        </w:rPr>
        <w:t>Journal for Research in Mathematics Education</w:t>
      </w:r>
      <w:r>
        <w:t>, 40, 396–426.</w:t>
      </w:r>
    </w:p>
    <w:p w:rsidR="00FC2A61" w:rsidRDefault="00FC2A61" w:rsidP="00B7564E">
      <w:pPr>
        <w:ind w:left="708"/>
      </w:pPr>
      <w:r w:rsidRPr="00FC2A61">
        <w:t>Rasmussen, C., Ellis, J., &amp; Zazkis, D. (2014). Lesson learned from case studies of successful calculus programs at five doctoral degree granting institutions. In </w:t>
      </w:r>
      <w:r w:rsidRPr="00FC2A61">
        <w:rPr>
          <w:i/>
          <w:iCs/>
        </w:rPr>
        <w:t>17th Conference on Research in Undergraduate Mathematics Education, Denver, CO</w:t>
      </w:r>
      <w:r w:rsidRPr="00FC2A61">
        <w:t>.</w:t>
      </w:r>
    </w:p>
    <w:p w:rsidR="00FC2A61" w:rsidRPr="00FC2A61" w:rsidRDefault="00FC2A61" w:rsidP="00FC2A61">
      <w:pPr>
        <w:ind w:left="720"/>
        <w:rPr>
          <w:lang w:val="en-US"/>
        </w:rPr>
      </w:pPr>
      <w:r w:rsidRPr="00FC2A61">
        <w:rPr>
          <w:lang w:val="en-US"/>
        </w:rPr>
        <w:t xml:space="preserve">Raudenbush, S.W., Bryk, A.S., Cheong, Y.F., Congdon, R., &amp; Toit, M. (2004). </w:t>
      </w:r>
      <w:r w:rsidRPr="00FC2A61">
        <w:rPr>
          <w:i/>
          <w:lang w:val="en-US"/>
        </w:rPr>
        <w:t>HLM 6: Hierarchical Linear and Non-Linear Modeling</w:t>
      </w:r>
      <w:r w:rsidRPr="00FC2A61">
        <w:rPr>
          <w:u w:val="single"/>
          <w:lang w:val="en-US"/>
        </w:rPr>
        <w:t>.</w:t>
      </w:r>
      <w:r w:rsidRPr="00FC2A61">
        <w:rPr>
          <w:lang w:val="en-US"/>
        </w:rPr>
        <w:t xml:space="preserve">  Chicago:  Scientific Software International.</w:t>
      </w:r>
    </w:p>
    <w:p w:rsidR="00687079" w:rsidRDefault="00687079" w:rsidP="00B7564E">
      <w:pPr>
        <w:ind w:left="708"/>
      </w:pPr>
      <w:r w:rsidRPr="00687079">
        <w:t>Sperry, R. A. (2014). </w:t>
      </w:r>
      <w:r w:rsidRPr="00687079">
        <w:rPr>
          <w:i/>
          <w:iCs/>
        </w:rPr>
        <w:t>Prediction of retention and probation status of first-year college students in learning communities using binary logistic regression models</w:t>
      </w:r>
      <w:r w:rsidRPr="00687079">
        <w:t> (Doctoral dissertation, Texas A&amp;M University-Corpus Christi).</w:t>
      </w:r>
    </w:p>
    <w:p w:rsidR="003740B8" w:rsidRDefault="00687079" w:rsidP="00C141DE">
      <w:pPr>
        <w:ind w:left="708"/>
      </w:pPr>
      <w:r w:rsidRPr="00687079">
        <w:t>Watterson, C., Browne, W., &amp; Carnegie, D. (2013, August). Steps to increase student engagement and retention in first year engineering. In </w:t>
      </w:r>
      <w:r w:rsidRPr="00687079">
        <w:rPr>
          <w:i/>
          <w:iCs/>
        </w:rPr>
        <w:t>Teaching, Assessment and Learning for Engineering (TALE), 2013 IEEE International Conference on</w:t>
      </w:r>
      <w:r w:rsidRPr="00687079">
        <w:t> (pp. 1-6). IEEE.</w:t>
      </w:r>
    </w:p>
    <w:sectPr w:rsidR="003740B8" w:rsidSect="002072E3">
      <w:headerReference w:type="default" r:id="rId15"/>
      <w:pgSz w:w="11906" w:h="16838" w:code="9"/>
      <w:pgMar w:top="1304" w:right="1134" w:bottom="1531" w:left="1134" w:header="851"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EC2" w:rsidRDefault="00344EC2">
      <w:r>
        <w:separator/>
      </w:r>
    </w:p>
  </w:endnote>
  <w:endnote w:type="continuationSeparator" w:id="1">
    <w:p w:rsidR="00344EC2" w:rsidRDefault="00344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EC2" w:rsidRDefault="00344EC2">
      <w:r>
        <w:separator/>
      </w:r>
    </w:p>
  </w:footnote>
  <w:footnote w:type="continuationSeparator" w:id="1">
    <w:p w:rsidR="00344EC2" w:rsidRDefault="00344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B63" w:rsidRDefault="00724B63">
    <w:pPr>
      <w:framePr w:wrap="auto" w:vAnchor="text" w:hAnchor="margin" w:xAlign="right" w:y="1"/>
    </w:pPr>
  </w:p>
  <w:p w:rsidR="00724B63" w:rsidRDefault="00724B63">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16979"/>
    <w:multiLevelType w:val="hybridMultilevel"/>
    <w:tmpl w:val="08480680"/>
    <w:lvl w:ilvl="0" w:tplc="B400062A">
      <w:start w:val="1"/>
      <w:numFmt w:val="bullet"/>
      <w:lvlText w:val=""/>
      <w:lvlJc w:val="left"/>
      <w:pPr>
        <w:tabs>
          <w:tab w:val="num" w:pos="720"/>
        </w:tabs>
        <w:ind w:left="720" w:hanging="360"/>
      </w:pPr>
      <w:rPr>
        <w:rFonts w:ascii="Symbol" w:hAnsi="Symbol" w:hint="default"/>
      </w:rPr>
    </w:lvl>
    <w:lvl w:ilvl="1" w:tplc="D9B223CA" w:tentative="1">
      <w:start w:val="1"/>
      <w:numFmt w:val="bullet"/>
      <w:lvlText w:val=""/>
      <w:lvlJc w:val="left"/>
      <w:pPr>
        <w:tabs>
          <w:tab w:val="num" w:pos="1440"/>
        </w:tabs>
        <w:ind w:left="1440" w:hanging="360"/>
      </w:pPr>
      <w:rPr>
        <w:rFonts w:ascii="Symbol" w:hAnsi="Symbol" w:hint="default"/>
      </w:rPr>
    </w:lvl>
    <w:lvl w:ilvl="2" w:tplc="505684EE" w:tentative="1">
      <w:start w:val="1"/>
      <w:numFmt w:val="bullet"/>
      <w:lvlText w:val=""/>
      <w:lvlJc w:val="left"/>
      <w:pPr>
        <w:tabs>
          <w:tab w:val="num" w:pos="2160"/>
        </w:tabs>
        <w:ind w:left="2160" w:hanging="360"/>
      </w:pPr>
      <w:rPr>
        <w:rFonts w:ascii="Symbol" w:hAnsi="Symbol" w:hint="default"/>
      </w:rPr>
    </w:lvl>
    <w:lvl w:ilvl="3" w:tplc="3654B324" w:tentative="1">
      <w:start w:val="1"/>
      <w:numFmt w:val="bullet"/>
      <w:lvlText w:val=""/>
      <w:lvlJc w:val="left"/>
      <w:pPr>
        <w:tabs>
          <w:tab w:val="num" w:pos="2880"/>
        </w:tabs>
        <w:ind w:left="2880" w:hanging="360"/>
      </w:pPr>
      <w:rPr>
        <w:rFonts w:ascii="Symbol" w:hAnsi="Symbol" w:hint="default"/>
      </w:rPr>
    </w:lvl>
    <w:lvl w:ilvl="4" w:tplc="0BBCAA2E" w:tentative="1">
      <w:start w:val="1"/>
      <w:numFmt w:val="bullet"/>
      <w:lvlText w:val=""/>
      <w:lvlJc w:val="left"/>
      <w:pPr>
        <w:tabs>
          <w:tab w:val="num" w:pos="3600"/>
        </w:tabs>
        <w:ind w:left="3600" w:hanging="360"/>
      </w:pPr>
      <w:rPr>
        <w:rFonts w:ascii="Symbol" w:hAnsi="Symbol" w:hint="default"/>
      </w:rPr>
    </w:lvl>
    <w:lvl w:ilvl="5" w:tplc="40C2CB18" w:tentative="1">
      <w:start w:val="1"/>
      <w:numFmt w:val="bullet"/>
      <w:lvlText w:val=""/>
      <w:lvlJc w:val="left"/>
      <w:pPr>
        <w:tabs>
          <w:tab w:val="num" w:pos="4320"/>
        </w:tabs>
        <w:ind w:left="4320" w:hanging="360"/>
      </w:pPr>
      <w:rPr>
        <w:rFonts w:ascii="Symbol" w:hAnsi="Symbol" w:hint="default"/>
      </w:rPr>
    </w:lvl>
    <w:lvl w:ilvl="6" w:tplc="FDB24648" w:tentative="1">
      <w:start w:val="1"/>
      <w:numFmt w:val="bullet"/>
      <w:lvlText w:val=""/>
      <w:lvlJc w:val="left"/>
      <w:pPr>
        <w:tabs>
          <w:tab w:val="num" w:pos="5040"/>
        </w:tabs>
        <w:ind w:left="5040" w:hanging="360"/>
      </w:pPr>
      <w:rPr>
        <w:rFonts w:ascii="Symbol" w:hAnsi="Symbol" w:hint="default"/>
      </w:rPr>
    </w:lvl>
    <w:lvl w:ilvl="7" w:tplc="8966A952" w:tentative="1">
      <w:start w:val="1"/>
      <w:numFmt w:val="bullet"/>
      <w:lvlText w:val=""/>
      <w:lvlJc w:val="left"/>
      <w:pPr>
        <w:tabs>
          <w:tab w:val="num" w:pos="5760"/>
        </w:tabs>
        <w:ind w:left="5760" w:hanging="360"/>
      </w:pPr>
      <w:rPr>
        <w:rFonts w:ascii="Symbol" w:hAnsi="Symbol" w:hint="default"/>
      </w:rPr>
    </w:lvl>
    <w:lvl w:ilvl="8" w:tplc="1CD8EBF8" w:tentative="1">
      <w:start w:val="1"/>
      <w:numFmt w:val="bullet"/>
      <w:lvlText w:val=""/>
      <w:lvlJc w:val="left"/>
      <w:pPr>
        <w:tabs>
          <w:tab w:val="num" w:pos="6480"/>
        </w:tabs>
        <w:ind w:left="6480" w:hanging="360"/>
      </w:pPr>
      <w:rPr>
        <w:rFonts w:ascii="Symbol" w:hAnsi="Symbol" w:hint="default"/>
      </w:rPr>
    </w:lvl>
  </w:abstractNum>
  <w:abstractNum w:abstractNumId="1">
    <w:nsid w:val="75C5510C"/>
    <w:multiLevelType w:val="hybridMultilevel"/>
    <w:tmpl w:val="1D74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808"/>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doNotUseHTMLParagraphAutoSpacing/>
  </w:compat>
  <w:rsids>
    <w:rsidRoot w:val="00E81D7C"/>
    <w:rsid w:val="00012FAF"/>
    <w:rsid w:val="0001502B"/>
    <w:rsid w:val="00015736"/>
    <w:rsid w:val="00031C88"/>
    <w:rsid w:val="00066FD3"/>
    <w:rsid w:val="00080BAE"/>
    <w:rsid w:val="00095B65"/>
    <w:rsid w:val="000A035D"/>
    <w:rsid w:val="000C5822"/>
    <w:rsid w:val="000C7E0E"/>
    <w:rsid w:val="000D0AB6"/>
    <w:rsid w:val="0016537D"/>
    <w:rsid w:val="001757D1"/>
    <w:rsid w:val="001767DF"/>
    <w:rsid w:val="00197B24"/>
    <w:rsid w:val="001D1982"/>
    <w:rsid w:val="002072E3"/>
    <w:rsid w:val="00230C99"/>
    <w:rsid w:val="00233322"/>
    <w:rsid w:val="00252D90"/>
    <w:rsid w:val="002D169F"/>
    <w:rsid w:val="002E3CB1"/>
    <w:rsid w:val="002F15F9"/>
    <w:rsid w:val="002F169A"/>
    <w:rsid w:val="003326C1"/>
    <w:rsid w:val="00344BDD"/>
    <w:rsid w:val="00344EC2"/>
    <w:rsid w:val="003613F6"/>
    <w:rsid w:val="003640DA"/>
    <w:rsid w:val="003740B8"/>
    <w:rsid w:val="003C414A"/>
    <w:rsid w:val="003D154B"/>
    <w:rsid w:val="003D7154"/>
    <w:rsid w:val="003E1E4B"/>
    <w:rsid w:val="003F308B"/>
    <w:rsid w:val="003F439C"/>
    <w:rsid w:val="00431B16"/>
    <w:rsid w:val="004621E9"/>
    <w:rsid w:val="00474553"/>
    <w:rsid w:val="00515120"/>
    <w:rsid w:val="00515E02"/>
    <w:rsid w:val="0052498B"/>
    <w:rsid w:val="005631C1"/>
    <w:rsid w:val="00570591"/>
    <w:rsid w:val="0057182C"/>
    <w:rsid w:val="005B693F"/>
    <w:rsid w:val="006212EC"/>
    <w:rsid w:val="00640AD7"/>
    <w:rsid w:val="00651B88"/>
    <w:rsid w:val="00686071"/>
    <w:rsid w:val="00687079"/>
    <w:rsid w:val="006B1268"/>
    <w:rsid w:val="006C558E"/>
    <w:rsid w:val="00711F8B"/>
    <w:rsid w:val="00724B63"/>
    <w:rsid w:val="00781EFE"/>
    <w:rsid w:val="00796A11"/>
    <w:rsid w:val="007C46A7"/>
    <w:rsid w:val="007C6302"/>
    <w:rsid w:val="007E425A"/>
    <w:rsid w:val="00872A96"/>
    <w:rsid w:val="00874D96"/>
    <w:rsid w:val="008A4E27"/>
    <w:rsid w:val="008B0C74"/>
    <w:rsid w:val="008C4F87"/>
    <w:rsid w:val="008D2E81"/>
    <w:rsid w:val="008D3E2D"/>
    <w:rsid w:val="00911EAB"/>
    <w:rsid w:val="0092709A"/>
    <w:rsid w:val="00943879"/>
    <w:rsid w:val="00956C6D"/>
    <w:rsid w:val="00961DBB"/>
    <w:rsid w:val="00966BF3"/>
    <w:rsid w:val="00991845"/>
    <w:rsid w:val="009D1594"/>
    <w:rsid w:val="009D286E"/>
    <w:rsid w:val="00A329BF"/>
    <w:rsid w:val="00A77644"/>
    <w:rsid w:val="00A77A9A"/>
    <w:rsid w:val="00A850D7"/>
    <w:rsid w:val="00A8736E"/>
    <w:rsid w:val="00A87E93"/>
    <w:rsid w:val="00A91D6A"/>
    <w:rsid w:val="00AB3576"/>
    <w:rsid w:val="00AB527B"/>
    <w:rsid w:val="00AF3B09"/>
    <w:rsid w:val="00B24A75"/>
    <w:rsid w:val="00B64C0C"/>
    <w:rsid w:val="00B75531"/>
    <w:rsid w:val="00B7564E"/>
    <w:rsid w:val="00BD178E"/>
    <w:rsid w:val="00BE4BE3"/>
    <w:rsid w:val="00BF13BD"/>
    <w:rsid w:val="00C04614"/>
    <w:rsid w:val="00C141DE"/>
    <w:rsid w:val="00C341BF"/>
    <w:rsid w:val="00C561D8"/>
    <w:rsid w:val="00C8167D"/>
    <w:rsid w:val="00CA009C"/>
    <w:rsid w:val="00CC0B01"/>
    <w:rsid w:val="00CF0312"/>
    <w:rsid w:val="00CF3D55"/>
    <w:rsid w:val="00D0178C"/>
    <w:rsid w:val="00D35FC8"/>
    <w:rsid w:val="00D45E60"/>
    <w:rsid w:val="00D728FD"/>
    <w:rsid w:val="00D776DE"/>
    <w:rsid w:val="00D97DAD"/>
    <w:rsid w:val="00DA024D"/>
    <w:rsid w:val="00DB2529"/>
    <w:rsid w:val="00DB3935"/>
    <w:rsid w:val="00DC4037"/>
    <w:rsid w:val="00DC59EC"/>
    <w:rsid w:val="00DD2CA4"/>
    <w:rsid w:val="00DF3CB6"/>
    <w:rsid w:val="00E42F81"/>
    <w:rsid w:val="00E454FC"/>
    <w:rsid w:val="00E5403B"/>
    <w:rsid w:val="00E72F45"/>
    <w:rsid w:val="00E81D7C"/>
    <w:rsid w:val="00E9385C"/>
    <w:rsid w:val="00EE01E7"/>
    <w:rsid w:val="00EF4285"/>
    <w:rsid w:val="00F06011"/>
    <w:rsid w:val="00F07565"/>
    <w:rsid w:val="00F221A3"/>
    <w:rsid w:val="00F52C06"/>
    <w:rsid w:val="00F57865"/>
    <w:rsid w:val="00F70E4A"/>
    <w:rsid w:val="00FA60CB"/>
    <w:rsid w:val="00FC2A61"/>
    <w:rsid w:val="00FC47C6"/>
    <w:rsid w:val="00FD177D"/>
    <w:rsid w:val="00FE6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B24"/>
    <w:pPr>
      <w:autoSpaceDE w:val="0"/>
      <w:autoSpaceDN w:val="0"/>
      <w:spacing w:after="120" w:line="320" w:lineRule="atLeast"/>
      <w:jc w:val="both"/>
    </w:pPr>
    <w:rPr>
      <w:sz w:val="28"/>
      <w:szCs w:val="28"/>
      <w:lang w:val="en-GB"/>
    </w:rPr>
  </w:style>
  <w:style w:type="paragraph" w:styleId="Heading1">
    <w:name w:val="heading 1"/>
    <w:basedOn w:val="Normal"/>
    <w:next w:val="Normal"/>
    <w:qFormat/>
    <w:rsid w:val="002072E3"/>
    <w:pPr>
      <w:keepNext/>
      <w:spacing w:line="400" w:lineRule="exact"/>
      <w:jc w:val="center"/>
      <w:outlineLvl w:val="0"/>
    </w:pPr>
    <w:rPr>
      <w:b/>
      <w:bCs/>
      <w:caps/>
      <w:kern w:val="28"/>
      <w:sz w:val="32"/>
      <w:szCs w:val="32"/>
    </w:rPr>
  </w:style>
  <w:style w:type="paragraph" w:styleId="Heading2">
    <w:name w:val="heading 2"/>
    <w:basedOn w:val="Normal"/>
    <w:next w:val="Normal"/>
    <w:qFormat/>
    <w:rsid w:val="002072E3"/>
    <w:pPr>
      <w:keepNext/>
      <w:spacing w:before="120"/>
      <w:outlineLvl w:val="1"/>
    </w:pPr>
    <w:rPr>
      <w:b/>
      <w:bCs/>
      <w:caps/>
    </w:rPr>
  </w:style>
  <w:style w:type="paragraph" w:styleId="Heading3">
    <w:name w:val="heading 3"/>
    <w:basedOn w:val="Normal"/>
    <w:next w:val="Normal"/>
    <w:qFormat/>
    <w:rsid w:val="002072E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rsid w:val="002072E3"/>
    <w:pPr>
      <w:tabs>
        <w:tab w:val="left" w:pos="851"/>
      </w:tabs>
      <w:spacing w:after="60" w:line="280" w:lineRule="exact"/>
      <w:ind w:left="2268" w:hanging="1984"/>
    </w:pPr>
    <w:rPr>
      <w:sz w:val="26"/>
      <w:szCs w:val="26"/>
    </w:rPr>
  </w:style>
  <w:style w:type="paragraph" w:styleId="Quote">
    <w:name w:val="Quote"/>
    <w:basedOn w:val="Normal"/>
    <w:qFormat/>
    <w:rsid w:val="002072E3"/>
    <w:pPr>
      <w:ind w:left="284"/>
    </w:pPr>
    <w:rPr>
      <w:sz w:val="26"/>
      <w:szCs w:val="26"/>
    </w:rPr>
  </w:style>
  <w:style w:type="paragraph" w:customStyle="1" w:styleId="References">
    <w:name w:val="References"/>
    <w:basedOn w:val="Normal"/>
    <w:rsid w:val="002072E3"/>
    <w:pPr>
      <w:ind w:left="284" w:hanging="284"/>
    </w:pPr>
  </w:style>
  <w:style w:type="paragraph" w:customStyle="1" w:styleId="Endnote">
    <w:name w:val="Endnote"/>
    <w:basedOn w:val="Normal"/>
    <w:rsid w:val="002072E3"/>
    <w:rPr>
      <w:sz w:val="24"/>
      <w:szCs w:val="24"/>
    </w:rPr>
  </w:style>
  <w:style w:type="paragraph" w:customStyle="1" w:styleId="FigTitle">
    <w:name w:val="FigTitle"/>
    <w:basedOn w:val="Normal"/>
    <w:rsid w:val="002072E3"/>
    <w:pPr>
      <w:spacing w:before="120"/>
    </w:pPr>
    <w:rPr>
      <w:b/>
      <w:bCs/>
      <w:sz w:val="26"/>
      <w:szCs w:val="26"/>
    </w:rPr>
  </w:style>
  <w:style w:type="paragraph" w:customStyle="1" w:styleId="Transcript">
    <w:name w:val="Transcript"/>
    <w:basedOn w:val="Normal"/>
    <w:rsid w:val="002072E3"/>
    <w:pPr>
      <w:ind w:left="1702" w:hanging="1418"/>
    </w:pPr>
    <w:rPr>
      <w:sz w:val="26"/>
      <w:szCs w:val="26"/>
    </w:rPr>
  </w:style>
  <w:style w:type="paragraph" w:styleId="DocumentMap">
    <w:name w:val="Document Map"/>
    <w:basedOn w:val="Normal"/>
    <w:semiHidden/>
    <w:rsid w:val="002072E3"/>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paragraph" w:styleId="FootnoteText">
    <w:name w:val="footnote text"/>
    <w:basedOn w:val="Normal"/>
    <w:link w:val="FootnoteTextChar"/>
    <w:rsid w:val="00D45E60"/>
    <w:pPr>
      <w:autoSpaceDE/>
      <w:autoSpaceDN/>
      <w:spacing w:after="0" w:line="240" w:lineRule="auto"/>
      <w:jc w:val="left"/>
    </w:pPr>
    <w:rPr>
      <w:sz w:val="20"/>
      <w:szCs w:val="20"/>
      <w:lang w:val="en-US"/>
    </w:rPr>
  </w:style>
  <w:style w:type="character" w:customStyle="1" w:styleId="FootnoteTextChar">
    <w:name w:val="Footnote Text Char"/>
    <w:basedOn w:val="DefaultParagraphFont"/>
    <w:link w:val="FootnoteText"/>
    <w:rsid w:val="00D45E60"/>
  </w:style>
  <w:style w:type="character" w:styleId="FootnoteReference">
    <w:name w:val="footnote reference"/>
    <w:rsid w:val="00D45E60"/>
    <w:rPr>
      <w:vertAlign w:val="superscript"/>
    </w:rPr>
  </w:style>
  <w:style w:type="paragraph" w:styleId="Revision">
    <w:name w:val="Revision"/>
    <w:hidden/>
    <w:uiPriority w:val="99"/>
    <w:semiHidden/>
    <w:rsid w:val="00C561D8"/>
    <w:rPr>
      <w:sz w:val="28"/>
      <w:szCs w:val="28"/>
      <w:lang w:val="en-GB"/>
    </w:rPr>
  </w:style>
  <w:style w:type="paragraph" w:styleId="BalloonText">
    <w:name w:val="Balloon Text"/>
    <w:basedOn w:val="Normal"/>
    <w:link w:val="BalloonTextChar"/>
    <w:rsid w:val="00C561D8"/>
    <w:pPr>
      <w:spacing w:after="0" w:line="240" w:lineRule="auto"/>
    </w:pPr>
    <w:rPr>
      <w:rFonts w:ascii="Tahoma" w:hAnsi="Tahoma" w:cs="Tahoma"/>
      <w:sz w:val="16"/>
      <w:szCs w:val="16"/>
    </w:rPr>
  </w:style>
  <w:style w:type="character" w:customStyle="1" w:styleId="BalloonTextChar">
    <w:name w:val="Balloon Text Char"/>
    <w:link w:val="BalloonText"/>
    <w:rsid w:val="00C561D8"/>
    <w:rPr>
      <w:rFonts w:ascii="Tahoma" w:hAnsi="Tahoma" w:cs="Tahoma"/>
      <w:sz w:val="16"/>
      <w:szCs w:val="16"/>
      <w:lang w:val="en-GB"/>
    </w:rPr>
  </w:style>
  <w:style w:type="paragraph" w:styleId="Header">
    <w:name w:val="header"/>
    <w:basedOn w:val="Normal"/>
    <w:link w:val="HeaderChar"/>
    <w:rsid w:val="003D7154"/>
    <w:pPr>
      <w:tabs>
        <w:tab w:val="center" w:pos="4680"/>
        <w:tab w:val="right" w:pos="9360"/>
      </w:tabs>
    </w:pPr>
  </w:style>
  <w:style w:type="character" w:customStyle="1" w:styleId="HeaderChar">
    <w:name w:val="Header Char"/>
    <w:link w:val="Header"/>
    <w:rsid w:val="003D7154"/>
    <w:rPr>
      <w:sz w:val="28"/>
      <w:szCs w:val="28"/>
      <w:lang w:val="en-GB"/>
    </w:rPr>
  </w:style>
  <w:style w:type="table" w:styleId="TableGrid">
    <w:name w:val="Table Grid"/>
    <w:basedOn w:val="TableNormal"/>
    <w:rsid w:val="008D3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286E"/>
    <w:pPr>
      <w:autoSpaceDE/>
      <w:autoSpaceDN/>
      <w:spacing w:before="100" w:beforeAutospacing="1" w:after="100" w:afterAutospacing="1" w:line="240" w:lineRule="auto"/>
      <w:jc w:val="left"/>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80834219">
      <w:bodyDiv w:val="1"/>
      <w:marLeft w:val="0"/>
      <w:marRight w:val="0"/>
      <w:marTop w:val="0"/>
      <w:marBottom w:val="0"/>
      <w:divBdr>
        <w:top w:val="none" w:sz="0" w:space="0" w:color="auto"/>
        <w:left w:val="none" w:sz="0" w:space="0" w:color="auto"/>
        <w:bottom w:val="none" w:sz="0" w:space="0" w:color="auto"/>
        <w:right w:val="none" w:sz="0" w:space="0" w:color="auto"/>
      </w:divBdr>
    </w:div>
    <w:div w:id="736130816">
      <w:bodyDiv w:val="1"/>
      <w:marLeft w:val="0"/>
      <w:marRight w:val="0"/>
      <w:marTop w:val="0"/>
      <w:marBottom w:val="0"/>
      <w:divBdr>
        <w:top w:val="none" w:sz="0" w:space="0" w:color="auto"/>
        <w:left w:val="none" w:sz="0" w:space="0" w:color="auto"/>
        <w:bottom w:val="none" w:sz="0" w:space="0" w:color="auto"/>
        <w:right w:val="none" w:sz="0" w:space="0" w:color="auto"/>
      </w:divBdr>
    </w:div>
    <w:div w:id="982278097">
      <w:bodyDiv w:val="1"/>
      <w:marLeft w:val="0"/>
      <w:marRight w:val="0"/>
      <w:marTop w:val="0"/>
      <w:marBottom w:val="0"/>
      <w:divBdr>
        <w:top w:val="none" w:sz="0" w:space="0" w:color="auto"/>
        <w:left w:val="none" w:sz="0" w:space="0" w:color="auto"/>
        <w:bottom w:val="none" w:sz="0" w:space="0" w:color="auto"/>
        <w:right w:val="none" w:sz="0" w:space="0" w:color="auto"/>
      </w:divBdr>
      <w:divsChild>
        <w:div w:id="568923849">
          <w:marLeft w:val="547"/>
          <w:marRight w:val="0"/>
          <w:marTop w:val="154"/>
          <w:marBottom w:val="0"/>
          <w:divBdr>
            <w:top w:val="none" w:sz="0" w:space="0" w:color="auto"/>
            <w:left w:val="none" w:sz="0" w:space="0" w:color="auto"/>
            <w:bottom w:val="none" w:sz="0" w:space="0" w:color="auto"/>
            <w:right w:val="none" w:sz="0" w:space="0" w:color="auto"/>
          </w:divBdr>
        </w:div>
      </w:divsChild>
    </w:div>
    <w:div w:id="1209881015">
      <w:bodyDiv w:val="1"/>
      <w:marLeft w:val="0"/>
      <w:marRight w:val="0"/>
      <w:marTop w:val="0"/>
      <w:marBottom w:val="0"/>
      <w:divBdr>
        <w:top w:val="none" w:sz="0" w:space="0" w:color="auto"/>
        <w:left w:val="none" w:sz="0" w:space="0" w:color="auto"/>
        <w:bottom w:val="none" w:sz="0" w:space="0" w:color="auto"/>
        <w:right w:val="none" w:sz="0" w:space="0" w:color="auto"/>
      </w:divBdr>
    </w:div>
    <w:div w:id="18265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70D1-A121-4016-92AA-EB68895D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3986</Words>
  <Characters>22723</Characters>
  <Application>Microsoft Office Word</Application>
  <DocSecurity>0</DocSecurity>
  <Lines>189</Lines>
  <Paragraphs>53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CERME paper template</vt:lpstr>
      <vt:lpstr>CERME paper template</vt:lpstr>
    </vt:vector>
  </TitlesOfParts>
  <Company>PEDF UK</Company>
  <LinksUpToDate>false</LinksUpToDate>
  <CharactersWithSpaces>26656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creator>CERME</dc:creator>
  <cp:lastModifiedBy>Marlyne</cp:lastModifiedBy>
  <cp:revision>2</cp:revision>
  <cp:lastPrinted>1999-04-19T08:26:00Z</cp:lastPrinted>
  <dcterms:created xsi:type="dcterms:W3CDTF">2018-02-25T01:53:00Z</dcterms:created>
  <dcterms:modified xsi:type="dcterms:W3CDTF">2018-02-25T01:53:00Z</dcterms:modified>
</cp:coreProperties>
</file>