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 xml:space="preserve">Unit 1 Discussion was referring to the different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curriculum's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And we had to choose one based on our teaching experience. I selected "Subject-centered" curriculum based on being an ESL instructor. But you can see below the different curriculum choices.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Based on the program of study I selected "Bachelors of Science and Technology" as my final project, you can check which one of the below curriculum may be the best choice.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To get started in our task to understand and implement curriculum, you must first look at the various types of curriculum. There is no one standard set curriculum.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Problem-based learning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Service Learning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Experiential Learning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Learning Communities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Outcomes-based degrees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Open courses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Subject-Centered curriculum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Learner-Centered curriculum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Problem-centered curriculum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Process-centered curriculum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Product-centered curriculum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The written curriculum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The societal curriculum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The hidden curriculum</w:t>
      </w:r>
    </w:p>
    <w:p w:rsidR="000F207A" w:rsidRDefault="000F207A" w:rsidP="000F207A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The null curriculum</w:t>
      </w:r>
    </w:p>
    <w:p w:rsidR="00D03079" w:rsidRDefault="00D03079"/>
    <w:sectPr w:rsidR="00D03079" w:rsidSect="00D03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7A"/>
    <w:rsid w:val="000F207A"/>
    <w:rsid w:val="003073EA"/>
    <w:rsid w:val="00D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870B7-5F1F-4FDC-97EC-D10DCA80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F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Unice10@gmail.com</dc:creator>
  <cp:lastModifiedBy>augky</cp:lastModifiedBy>
  <cp:revision>2</cp:revision>
  <dcterms:created xsi:type="dcterms:W3CDTF">2018-08-17T15:43:00Z</dcterms:created>
  <dcterms:modified xsi:type="dcterms:W3CDTF">2018-08-17T15:43:00Z</dcterms:modified>
</cp:coreProperties>
</file>