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F4" w:rsidRPr="003D00F4" w:rsidRDefault="003D00F4" w:rsidP="003D00F4">
      <w:pPr>
        <w:shd w:val="clear" w:color="auto" w:fill="FFFFFF"/>
        <w:spacing w:before="100" w:beforeAutospacing="1" w:after="100" w:afterAutospacing="1" w:line="240" w:lineRule="auto"/>
        <w:textAlignment w:val="center"/>
        <w:outlineLvl w:val="0"/>
        <w:rPr>
          <w:rFonts w:ascii="Helvetica" w:eastAsia="Times New Roman" w:hAnsi="Helvetica" w:cs="Helvetica"/>
          <w:color w:val="30343F"/>
          <w:kern w:val="36"/>
          <w:sz w:val="78"/>
          <w:szCs w:val="78"/>
        </w:rPr>
      </w:pPr>
      <w:bookmarkStart w:id="0" w:name="_GoBack"/>
      <w:bookmarkEnd w:id="0"/>
      <w:r w:rsidRPr="003D00F4">
        <w:rPr>
          <w:rFonts w:ascii="Helvetica" w:eastAsia="Times New Roman" w:hAnsi="Helvetica" w:cs="Helvetica"/>
          <w:color w:val="30343F"/>
          <w:kern w:val="36"/>
          <w:sz w:val="78"/>
          <w:szCs w:val="78"/>
        </w:rPr>
        <w:t>Purnell Model</w:t>
      </w:r>
    </w:p>
    <w:p w:rsidR="003D00F4" w:rsidRPr="003D00F4" w:rsidRDefault="003D00F4" w:rsidP="003D00F4">
      <w:pPr>
        <w:shd w:val="clear" w:color="auto" w:fill="FFFFFF"/>
        <w:spacing w:before="75" w:after="225" w:line="240" w:lineRule="auto"/>
        <w:textAlignment w:val="center"/>
        <w:outlineLvl w:val="1"/>
        <w:rPr>
          <w:rFonts w:ascii="Helvetica" w:eastAsia="Times New Roman" w:hAnsi="Helvetica" w:cs="Helvetica"/>
          <w:color w:val="30343F"/>
          <w:spacing w:val="2"/>
          <w:sz w:val="54"/>
          <w:szCs w:val="54"/>
        </w:rPr>
      </w:pPr>
      <w:r w:rsidRPr="003D00F4">
        <w:rPr>
          <w:rFonts w:ascii="Helvetica" w:eastAsia="Times New Roman" w:hAnsi="Helvetica" w:cs="Helvetica"/>
          <w:color w:val="30343F"/>
          <w:spacing w:val="2"/>
          <w:sz w:val="54"/>
          <w:szCs w:val="54"/>
        </w:rPr>
        <w:t>Purnell Model for Cultural Competence by Larry Purnell</w:t>
      </w:r>
    </w:p>
    <w:p w:rsidR="003D00F4" w:rsidRPr="003D00F4" w:rsidRDefault="003D00F4" w:rsidP="003D00F4">
      <w:pPr>
        <w:shd w:val="clear" w:color="auto" w:fill="FFFFFF"/>
        <w:spacing w:before="300" w:after="150" w:line="240" w:lineRule="auto"/>
        <w:textAlignment w:val="center"/>
        <w:outlineLvl w:val="2"/>
        <w:rPr>
          <w:rFonts w:ascii="Helvetica" w:eastAsia="Times New Roman" w:hAnsi="Helvetica" w:cs="Helvetica"/>
          <w:color w:val="00538E"/>
          <w:spacing w:val="2"/>
          <w:sz w:val="36"/>
          <w:szCs w:val="36"/>
        </w:rPr>
      </w:pPr>
      <w:r w:rsidRPr="003D00F4">
        <w:rPr>
          <w:rFonts w:ascii="Helvetica" w:eastAsia="Times New Roman" w:hAnsi="Helvetica" w:cs="Helvetica"/>
          <w:color w:val="00538E"/>
          <w:spacing w:val="2"/>
          <w:sz w:val="36"/>
          <w:szCs w:val="36"/>
        </w:rPr>
        <w:t>12 Cultural Domains </w:t>
      </w:r>
    </w:p>
    <w:p w:rsidR="003D00F4" w:rsidRPr="003D00F4" w:rsidRDefault="003D00F4" w:rsidP="003D00F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t>It is not intended for domains to stand alone, rather, they affect one another.</w:t>
      </w:r>
    </w:p>
    <w:p w:rsidR="003D00F4" w:rsidRPr="003D00F4" w:rsidRDefault="003D00F4" w:rsidP="003D00F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b/>
          <w:bCs/>
          <w:color w:val="30343F"/>
          <w:sz w:val="24"/>
          <w:szCs w:val="24"/>
        </w:rPr>
        <w:t>Overview/heritage</w:t>
      </w: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br/>
        <w:t xml:space="preserve">Concepts related to country of origin, current residence, </w:t>
      </w:r>
      <w:proofErr w:type="gramStart"/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t>the</w:t>
      </w:r>
      <w:proofErr w:type="gramEnd"/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t xml:space="preserve"> effects of the topography of the country of origin and current residence, economics, politics, reasons for emigration, educational status, and occupations.</w:t>
      </w:r>
    </w:p>
    <w:p w:rsidR="003D00F4" w:rsidRPr="003D00F4" w:rsidRDefault="003D00F4" w:rsidP="003D00F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b/>
          <w:bCs/>
          <w:color w:val="30343F"/>
          <w:sz w:val="24"/>
          <w:szCs w:val="24"/>
        </w:rPr>
        <w:t>Communication</w:t>
      </w: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br/>
        <w:t>Concepts related to the dominant language and dialects; contextual use of the language; paralanguage variations such as voice volume, tone, and intonations; and the willingness to share thoughts and feelings. Nonverbal communications such as the use of eye contact, facial expressions, touch, body language, spatial distancing practices, and acceptable greetings; temporality in terms of past, present, or future worldview orientation; clock versus social time; and the use of names are important concepts. </w:t>
      </w:r>
    </w:p>
    <w:p w:rsidR="003D00F4" w:rsidRPr="003D00F4" w:rsidRDefault="003D00F4" w:rsidP="003D00F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b/>
          <w:bCs/>
          <w:color w:val="30343F"/>
          <w:sz w:val="24"/>
          <w:szCs w:val="24"/>
        </w:rPr>
        <w:t>Family roles and organization</w:t>
      </w: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br/>
        <w:t>Concepts related to the head of the household and gender roles; family roles, priorities, and developmental tasks of children and adolescents; child-rearing practices; and roles of the ages and extended family members. Social status and views toward alternative lifestyles such as single parenting, sexual orientation, child-less marriages, and divorce are also included in the domain. </w:t>
      </w:r>
    </w:p>
    <w:p w:rsidR="003D00F4" w:rsidRPr="003D00F4" w:rsidRDefault="003D00F4" w:rsidP="003D00F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b/>
          <w:bCs/>
          <w:color w:val="30343F"/>
          <w:sz w:val="24"/>
          <w:szCs w:val="24"/>
        </w:rPr>
        <w:t>Workforce issues</w:t>
      </w: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br/>
        <w:t>Concepts related to autonomy, acculturation, assimilation, gender roles, ethnic communication styles, individualism, and health care practices from the country of origin. </w:t>
      </w:r>
    </w:p>
    <w:p w:rsidR="003D00F4" w:rsidRPr="003D00F4" w:rsidRDefault="003D00F4" w:rsidP="003D00F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b/>
          <w:bCs/>
          <w:color w:val="30343F"/>
          <w:sz w:val="24"/>
          <w:szCs w:val="24"/>
        </w:rPr>
        <w:t>Bicultural ecology</w:t>
      </w: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br/>
        <w:t>Includes variations in ethnic and racial origins such as skin coloration and physical differences in body stature; genetic, heredity, endemic, and topographical diseases; and differences in how the body metabolizes drugs. </w:t>
      </w:r>
    </w:p>
    <w:p w:rsidR="003D00F4" w:rsidRPr="003D00F4" w:rsidRDefault="003D00F4" w:rsidP="003D00F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b/>
          <w:bCs/>
          <w:color w:val="30343F"/>
          <w:sz w:val="24"/>
          <w:szCs w:val="24"/>
        </w:rPr>
        <w:t>High-risk behaviors</w:t>
      </w: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br/>
        <w:t>Includes the use of tobacco, alcohol and recreational drugs; lack of physical activity; nonuse of safety measures such as seatbelts and helmets; and high-risk sexual practices.</w:t>
      </w:r>
    </w:p>
    <w:p w:rsidR="003D00F4" w:rsidRPr="003D00F4" w:rsidRDefault="003D00F4" w:rsidP="003D00F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b/>
          <w:bCs/>
          <w:color w:val="30343F"/>
          <w:sz w:val="24"/>
          <w:szCs w:val="24"/>
        </w:rPr>
        <w:lastRenderedPageBreak/>
        <w:t>Nutrition</w:t>
      </w: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br/>
        <w:t>Includes having adequate food; the meaning of food; food choices, rituals, and taboos; and how food and food substances are used during illness and for health promotion and wellness. </w:t>
      </w:r>
    </w:p>
    <w:p w:rsidR="003D00F4" w:rsidRPr="003D00F4" w:rsidRDefault="003D00F4" w:rsidP="003D00F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b/>
          <w:bCs/>
          <w:color w:val="30343F"/>
          <w:sz w:val="24"/>
          <w:szCs w:val="24"/>
        </w:rPr>
        <w:t>Pregnancy and childbearing</w:t>
      </w: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br/>
        <w:t>Includes fertility practices; methods for birth control; views towards pregnancy; and prescriptive, restrictive, and taboo practices related to pregnancy, birthing, and postpartum treatment. </w:t>
      </w:r>
    </w:p>
    <w:p w:rsidR="003D00F4" w:rsidRPr="003D00F4" w:rsidRDefault="003D00F4" w:rsidP="003D00F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b/>
          <w:bCs/>
          <w:color w:val="30343F"/>
          <w:sz w:val="24"/>
          <w:szCs w:val="24"/>
        </w:rPr>
        <w:t>Death rituals</w:t>
      </w: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br/>
        <w:t>Includes how the individual and the culture view death, rituals and behaviors to prepare for death, and burial practices. Bereavement behaviors are also included in this domain.</w:t>
      </w:r>
    </w:p>
    <w:p w:rsidR="003D00F4" w:rsidRPr="003D00F4" w:rsidRDefault="003D00F4" w:rsidP="003D00F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b/>
          <w:bCs/>
          <w:color w:val="30343F"/>
          <w:sz w:val="24"/>
          <w:szCs w:val="24"/>
        </w:rPr>
        <w:t>Spirituality</w:t>
      </w: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br/>
      </w:r>
      <w:proofErr w:type="gramStart"/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t>Includes</w:t>
      </w:r>
      <w:proofErr w:type="gramEnd"/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t xml:space="preserve"> religious practices and the use of prayer, behaviors that give meaning to life, and individual sources of strength.</w:t>
      </w:r>
    </w:p>
    <w:p w:rsidR="003D00F4" w:rsidRPr="003D00F4" w:rsidRDefault="003D00F4" w:rsidP="003D00F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b/>
          <w:bCs/>
          <w:color w:val="30343F"/>
          <w:sz w:val="24"/>
          <w:szCs w:val="24"/>
        </w:rPr>
        <w:t>Health care practices</w:t>
      </w: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br/>
        <w:t xml:space="preserve">Includes the focus of health care such as acute or preventive; traditional, </w:t>
      </w:r>
      <w:proofErr w:type="spellStart"/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t>magicoreligious</w:t>
      </w:r>
      <w:proofErr w:type="spellEnd"/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t>, and biomedical beliefs; individual responsibility for health; self-medication practices; and views towards mental illness, chronicity, and organ donation and transplantation. Barriers to health care and one’s response to pain and the sick role are included in this domain. </w:t>
      </w:r>
    </w:p>
    <w:p w:rsidR="003D00F4" w:rsidRPr="003D00F4" w:rsidRDefault="003D00F4" w:rsidP="003D00F4">
      <w:pPr>
        <w:shd w:val="clear" w:color="auto" w:fill="FFFFFF"/>
        <w:spacing w:after="150" w:line="240" w:lineRule="auto"/>
        <w:ind w:left="600"/>
        <w:rPr>
          <w:rFonts w:ascii="Helvetica" w:eastAsia="Times New Roman" w:hAnsi="Helvetica" w:cs="Helvetica"/>
          <w:color w:val="30343F"/>
          <w:sz w:val="24"/>
          <w:szCs w:val="24"/>
        </w:rPr>
      </w:pPr>
      <w:r w:rsidRPr="003D00F4">
        <w:rPr>
          <w:rFonts w:ascii="Helvetica" w:eastAsia="Times New Roman" w:hAnsi="Helvetica" w:cs="Helvetica"/>
          <w:b/>
          <w:bCs/>
          <w:color w:val="30343F"/>
          <w:sz w:val="24"/>
          <w:szCs w:val="24"/>
        </w:rPr>
        <w:t>Health care practitioner</w:t>
      </w:r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br/>
        <w:t xml:space="preserve">Concepts include the status, use, and perceptions of traditional, </w:t>
      </w:r>
      <w:proofErr w:type="spellStart"/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t>magicoreligious</w:t>
      </w:r>
      <w:proofErr w:type="spellEnd"/>
      <w:r w:rsidRPr="003D00F4">
        <w:rPr>
          <w:rFonts w:ascii="Helvetica" w:eastAsia="Times New Roman" w:hAnsi="Helvetica" w:cs="Helvetica"/>
          <w:color w:val="30343F"/>
          <w:sz w:val="24"/>
          <w:szCs w:val="24"/>
        </w:rPr>
        <w:t>, and allopathic biomedical health care providers. In addition, the gender of the health care provider may have significance.</w:t>
      </w:r>
    </w:p>
    <w:p w:rsidR="00887C7F" w:rsidRDefault="00A16998"/>
    <w:sectPr w:rsidR="00887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F4"/>
    <w:rsid w:val="003669E2"/>
    <w:rsid w:val="003D00F4"/>
    <w:rsid w:val="00A16998"/>
    <w:rsid w:val="00BA63FD"/>
    <w:rsid w:val="00F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8E662-0194-488F-AD7C-DBAC03E9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0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D00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D00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0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D00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00F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0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0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Darien Bond</dc:creator>
  <cp:lastModifiedBy>haugh khym</cp:lastModifiedBy>
  <cp:revision>2</cp:revision>
  <dcterms:created xsi:type="dcterms:W3CDTF">2018-10-08T03:35:00Z</dcterms:created>
  <dcterms:modified xsi:type="dcterms:W3CDTF">2018-10-08T03:35:00Z</dcterms:modified>
</cp:coreProperties>
</file>