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2CDEFEB" w14:textId="77777777" w:rsidR="00C41817" w:rsidRDefault="007F57E2">
      <w:pPr>
        <w:pBdr>
          <w:top w:val="nil"/>
          <w:left w:val="nil"/>
          <w:bottom w:val="nil"/>
          <w:right w:val="nil"/>
          <w:between w:val="nil"/>
        </w:pBdr>
        <w:spacing w:after="0" w:line="240" w:lineRule="auto"/>
        <w:rPr>
          <w:rFonts w:ascii="Amaranth" w:eastAsia="Amaranth" w:hAnsi="Amaranth" w:cs="Amaranth"/>
          <w:sz w:val="24"/>
          <w:szCs w:val="24"/>
        </w:rPr>
      </w:pPr>
      <w:bookmarkStart w:id="0" w:name="_GoBack"/>
      <w:bookmarkEnd w:id="0"/>
      <w:r>
        <w:rPr>
          <w:rFonts w:ascii="Amaranth" w:eastAsia="Amaranth" w:hAnsi="Amaranth" w:cs="Amaranth"/>
          <w:sz w:val="24"/>
          <w:szCs w:val="24"/>
        </w:rPr>
        <w:t>This semester, we have explored many facets of “nature” and “humanity.”  As the culmination of this course, you will have the opportunity to connect some of these concepts from your perspective.  You will be expected to refer to course content while also contributing new sources to the discussion.  Through this exploration, you will extend on the ideas presented in class by exploring what has piqued your interest and synthesizing these ideas in an informative, and possibly persuasive, writing.</w:t>
      </w:r>
    </w:p>
    <w:p w14:paraId="1179EEB4" w14:textId="77777777" w:rsidR="00C41817" w:rsidRDefault="00C41817">
      <w:pPr>
        <w:pBdr>
          <w:top w:val="nil"/>
          <w:left w:val="nil"/>
          <w:bottom w:val="nil"/>
          <w:right w:val="nil"/>
          <w:between w:val="nil"/>
        </w:pBdr>
        <w:spacing w:after="0" w:line="240" w:lineRule="auto"/>
        <w:rPr>
          <w:rFonts w:ascii="Amaranth" w:eastAsia="Amaranth" w:hAnsi="Amaranth" w:cs="Amaranth"/>
          <w:sz w:val="24"/>
          <w:szCs w:val="24"/>
        </w:rPr>
      </w:pPr>
    </w:p>
    <w:p w14:paraId="0DC72B30" w14:textId="77777777" w:rsidR="00C41817" w:rsidRDefault="007F57E2">
      <w:pPr>
        <w:spacing w:after="0" w:line="360" w:lineRule="auto"/>
        <w:rPr>
          <w:rFonts w:ascii="Amaranth" w:eastAsia="Amaranth" w:hAnsi="Amaranth" w:cs="Amaranth"/>
          <w:b/>
          <w:sz w:val="24"/>
          <w:szCs w:val="24"/>
        </w:rPr>
      </w:pPr>
      <w:r>
        <w:rPr>
          <w:rFonts w:ascii="Amaranth" w:eastAsia="Amaranth" w:hAnsi="Amaranth" w:cs="Amaranth"/>
          <w:b/>
          <w:sz w:val="24"/>
          <w:szCs w:val="24"/>
        </w:rPr>
        <w:t>` 8 pages (2000 words)</w:t>
      </w:r>
    </w:p>
    <w:p w14:paraId="2CD081F7" w14:textId="77777777" w:rsidR="00C41817" w:rsidRDefault="007F57E2">
      <w:pPr>
        <w:pBdr>
          <w:top w:val="nil"/>
          <w:left w:val="nil"/>
          <w:bottom w:val="nil"/>
          <w:right w:val="nil"/>
          <w:between w:val="nil"/>
        </w:pBdr>
        <w:spacing w:after="0" w:line="240" w:lineRule="auto"/>
        <w:rPr>
          <w:rFonts w:ascii="Amaranth" w:eastAsia="Amaranth" w:hAnsi="Amaranth" w:cs="Amaranth"/>
          <w:sz w:val="24"/>
          <w:szCs w:val="24"/>
        </w:rPr>
      </w:pPr>
      <w:r>
        <w:rPr>
          <w:rFonts w:ascii="Amaranth" w:eastAsia="Amaranth" w:hAnsi="Amaranth" w:cs="Amaranth"/>
          <w:sz w:val="24"/>
          <w:szCs w:val="24"/>
        </w:rPr>
        <w:t>In order to successfully complete this assignment, you will do the following:</w:t>
      </w:r>
    </w:p>
    <w:p w14:paraId="5616BD0B" w14:textId="77777777" w:rsidR="00C41817" w:rsidRDefault="007F57E2">
      <w:pPr>
        <w:numPr>
          <w:ilvl w:val="0"/>
          <w:numId w:val="2"/>
        </w:numPr>
        <w:pBdr>
          <w:top w:val="nil"/>
          <w:left w:val="nil"/>
          <w:bottom w:val="nil"/>
          <w:right w:val="nil"/>
          <w:between w:val="nil"/>
        </w:pBdr>
        <w:spacing w:after="0" w:line="240" w:lineRule="auto"/>
        <w:contextualSpacing/>
        <w:rPr>
          <w:rFonts w:ascii="Raleway" w:eastAsia="Raleway" w:hAnsi="Raleway" w:cs="Raleway"/>
          <w:sz w:val="24"/>
          <w:szCs w:val="24"/>
        </w:rPr>
      </w:pPr>
      <w:r>
        <w:rPr>
          <w:rFonts w:ascii="Amaranth" w:eastAsia="Amaranth" w:hAnsi="Amaranth" w:cs="Amaranth"/>
          <w:sz w:val="24"/>
          <w:szCs w:val="24"/>
        </w:rPr>
        <w:t xml:space="preserve">present a </w:t>
      </w:r>
      <w:r>
        <w:rPr>
          <w:rFonts w:ascii="Amaranth" w:eastAsia="Amaranth" w:hAnsi="Amaranth" w:cs="Amaranth"/>
          <w:b/>
          <w:i/>
          <w:sz w:val="24"/>
          <w:szCs w:val="24"/>
        </w:rPr>
        <w:t>logical</w:t>
      </w:r>
      <w:r>
        <w:rPr>
          <w:rFonts w:ascii="Amaranth" w:eastAsia="Amaranth" w:hAnsi="Amaranth" w:cs="Amaranth"/>
          <w:sz w:val="24"/>
          <w:szCs w:val="24"/>
        </w:rPr>
        <w:t xml:space="preserve">, </w:t>
      </w:r>
      <w:r>
        <w:rPr>
          <w:rFonts w:ascii="Amaranth" w:eastAsia="Amaranth" w:hAnsi="Amaranth" w:cs="Amaranth"/>
          <w:b/>
          <w:i/>
          <w:sz w:val="24"/>
          <w:szCs w:val="24"/>
        </w:rPr>
        <w:t>complex</w:t>
      </w:r>
      <w:r>
        <w:rPr>
          <w:rFonts w:ascii="Amaranth" w:eastAsia="Amaranth" w:hAnsi="Amaranth" w:cs="Amaranth"/>
          <w:sz w:val="24"/>
          <w:szCs w:val="24"/>
        </w:rPr>
        <w:t xml:space="preserve"> and </w:t>
      </w:r>
      <w:r>
        <w:rPr>
          <w:rFonts w:ascii="Amaranth" w:eastAsia="Amaranth" w:hAnsi="Amaranth" w:cs="Amaranth"/>
          <w:b/>
          <w:i/>
          <w:sz w:val="24"/>
          <w:szCs w:val="24"/>
        </w:rPr>
        <w:t>compelling</w:t>
      </w:r>
      <w:r>
        <w:rPr>
          <w:rFonts w:ascii="Amaranth" w:eastAsia="Amaranth" w:hAnsi="Amaranth" w:cs="Amaranth"/>
          <w:sz w:val="24"/>
          <w:szCs w:val="24"/>
        </w:rPr>
        <w:t xml:space="preserve"> argument on a particular topic relating to the topics covered in this course</w:t>
      </w:r>
    </w:p>
    <w:p w14:paraId="415F2072" w14:textId="77777777" w:rsidR="00C41817" w:rsidRDefault="007F57E2">
      <w:pPr>
        <w:numPr>
          <w:ilvl w:val="0"/>
          <w:numId w:val="2"/>
        </w:numPr>
        <w:pBdr>
          <w:top w:val="nil"/>
          <w:left w:val="nil"/>
          <w:bottom w:val="nil"/>
          <w:right w:val="nil"/>
          <w:between w:val="nil"/>
        </w:pBdr>
        <w:spacing w:after="0" w:line="240" w:lineRule="auto"/>
        <w:contextualSpacing/>
        <w:rPr>
          <w:rFonts w:ascii="Raleway" w:eastAsia="Raleway" w:hAnsi="Raleway" w:cs="Raleway"/>
          <w:sz w:val="24"/>
          <w:szCs w:val="24"/>
        </w:rPr>
      </w:pPr>
      <w:r>
        <w:rPr>
          <w:rFonts w:ascii="Amaranth" w:eastAsia="Amaranth" w:hAnsi="Amaranth" w:cs="Amaranth"/>
          <w:sz w:val="24"/>
          <w:szCs w:val="24"/>
        </w:rPr>
        <w:t xml:space="preserve">Cite a variety of sources, including </w:t>
      </w:r>
      <w:r>
        <w:rPr>
          <w:rFonts w:ascii="Amaranth" w:eastAsia="Amaranth" w:hAnsi="Amaranth" w:cs="Amaranth"/>
          <w:b/>
          <w:i/>
          <w:sz w:val="24"/>
          <w:szCs w:val="24"/>
        </w:rPr>
        <w:t>scholarly sources</w:t>
      </w:r>
      <w:r>
        <w:rPr>
          <w:rFonts w:ascii="Amaranth" w:eastAsia="Amaranth" w:hAnsi="Amaranth" w:cs="Amaranth"/>
          <w:sz w:val="24"/>
          <w:szCs w:val="24"/>
        </w:rPr>
        <w:t xml:space="preserve"> which consider a variety of viewpoints - literature studied this semester must be referenced</w:t>
      </w:r>
    </w:p>
    <w:p w14:paraId="796C79E5" w14:textId="77777777" w:rsidR="00C41817" w:rsidRDefault="007F57E2">
      <w:pPr>
        <w:numPr>
          <w:ilvl w:val="0"/>
          <w:numId w:val="2"/>
        </w:numPr>
        <w:pBdr>
          <w:top w:val="nil"/>
          <w:left w:val="nil"/>
          <w:bottom w:val="nil"/>
          <w:right w:val="nil"/>
          <w:between w:val="nil"/>
        </w:pBdr>
        <w:spacing w:after="0" w:line="240" w:lineRule="auto"/>
        <w:contextualSpacing/>
        <w:rPr>
          <w:rFonts w:ascii="Raleway" w:eastAsia="Raleway" w:hAnsi="Raleway" w:cs="Raleway"/>
          <w:sz w:val="24"/>
          <w:szCs w:val="24"/>
        </w:rPr>
      </w:pPr>
      <w:r>
        <w:rPr>
          <w:rFonts w:ascii="Amaranth" w:eastAsia="Amaranth" w:hAnsi="Amaranth" w:cs="Amaranth"/>
          <w:sz w:val="24"/>
          <w:szCs w:val="24"/>
        </w:rPr>
        <w:t xml:space="preserve">cite sources </w:t>
      </w:r>
      <w:r>
        <w:rPr>
          <w:rFonts w:ascii="Amaranth" w:eastAsia="Amaranth" w:hAnsi="Amaranth" w:cs="Amaranth"/>
          <w:b/>
          <w:i/>
          <w:sz w:val="24"/>
          <w:szCs w:val="24"/>
        </w:rPr>
        <w:t>purposefull</w:t>
      </w:r>
      <w:r>
        <w:rPr>
          <w:rFonts w:ascii="Amaranth" w:eastAsia="Amaranth" w:hAnsi="Amaranth" w:cs="Amaranth"/>
          <w:b/>
          <w:sz w:val="24"/>
          <w:szCs w:val="24"/>
        </w:rPr>
        <w:t>y,</w:t>
      </w:r>
      <w:r>
        <w:rPr>
          <w:rFonts w:ascii="Amaranth" w:eastAsia="Amaranth" w:hAnsi="Amaranth" w:cs="Amaranth"/>
          <w:sz w:val="24"/>
          <w:szCs w:val="24"/>
        </w:rPr>
        <w:t xml:space="preserve"> </w:t>
      </w:r>
      <w:r>
        <w:rPr>
          <w:rFonts w:ascii="Amaranth" w:eastAsia="Amaranth" w:hAnsi="Amaranth" w:cs="Amaranth"/>
          <w:b/>
          <w:i/>
          <w:sz w:val="24"/>
          <w:szCs w:val="24"/>
        </w:rPr>
        <w:t>ethically</w:t>
      </w:r>
      <w:r>
        <w:rPr>
          <w:rFonts w:ascii="Amaranth" w:eastAsia="Amaranth" w:hAnsi="Amaranth" w:cs="Amaranth"/>
          <w:i/>
          <w:sz w:val="24"/>
          <w:szCs w:val="24"/>
        </w:rPr>
        <w:t xml:space="preserve"> </w:t>
      </w:r>
      <w:r>
        <w:rPr>
          <w:rFonts w:ascii="Amaranth" w:eastAsia="Amaranth" w:hAnsi="Amaranth" w:cs="Amaranth"/>
          <w:sz w:val="24"/>
          <w:szCs w:val="24"/>
        </w:rPr>
        <w:t xml:space="preserve">and </w:t>
      </w:r>
      <w:r>
        <w:rPr>
          <w:rFonts w:ascii="Amaranth" w:eastAsia="Amaranth" w:hAnsi="Amaranth" w:cs="Amaranth"/>
          <w:b/>
          <w:i/>
          <w:sz w:val="24"/>
          <w:szCs w:val="24"/>
        </w:rPr>
        <w:t>accurately</w:t>
      </w:r>
    </w:p>
    <w:p w14:paraId="518D4724" w14:textId="77777777" w:rsidR="00C41817" w:rsidRDefault="007F57E2">
      <w:pPr>
        <w:numPr>
          <w:ilvl w:val="0"/>
          <w:numId w:val="2"/>
        </w:numPr>
        <w:pBdr>
          <w:top w:val="nil"/>
          <w:left w:val="nil"/>
          <w:bottom w:val="nil"/>
          <w:right w:val="nil"/>
          <w:between w:val="nil"/>
        </w:pBdr>
        <w:spacing w:after="0" w:line="240" w:lineRule="auto"/>
        <w:contextualSpacing/>
        <w:rPr>
          <w:rFonts w:ascii="Amaranth" w:eastAsia="Amaranth" w:hAnsi="Amaranth" w:cs="Amaranth"/>
          <w:sz w:val="24"/>
          <w:szCs w:val="24"/>
        </w:rPr>
      </w:pPr>
      <w:r>
        <w:rPr>
          <w:rFonts w:ascii="Amaranth" w:eastAsia="Amaranth" w:hAnsi="Amaranth" w:cs="Amaranth"/>
          <w:sz w:val="24"/>
          <w:szCs w:val="24"/>
        </w:rPr>
        <w:t xml:space="preserve">use MLA format to create a Works Cited at the end of the paper listing sources </w:t>
      </w:r>
      <w:r>
        <w:rPr>
          <w:rFonts w:ascii="Amaranth" w:eastAsia="Amaranth" w:hAnsi="Amaranth" w:cs="Amaranth"/>
          <w:i/>
          <w:sz w:val="24"/>
          <w:szCs w:val="24"/>
        </w:rPr>
        <w:t>referenced within the paper</w:t>
      </w:r>
    </w:p>
    <w:p w14:paraId="33EF2125" w14:textId="77777777" w:rsidR="00C41817" w:rsidRDefault="00C41817">
      <w:pPr>
        <w:pBdr>
          <w:top w:val="nil"/>
          <w:left w:val="nil"/>
          <w:bottom w:val="nil"/>
          <w:right w:val="nil"/>
          <w:between w:val="nil"/>
        </w:pBdr>
        <w:spacing w:after="0" w:line="240" w:lineRule="auto"/>
        <w:rPr>
          <w:rFonts w:ascii="Amaranth" w:eastAsia="Amaranth" w:hAnsi="Amaranth" w:cs="Amaranth"/>
        </w:rPr>
      </w:pPr>
    </w:p>
    <w:p w14:paraId="77D765F3" w14:textId="77777777" w:rsidR="00C41817" w:rsidRDefault="00C41817">
      <w:pPr>
        <w:pBdr>
          <w:top w:val="nil"/>
          <w:left w:val="nil"/>
          <w:bottom w:val="nil"/>
          <w:right w:val="nil"/>
          <w:between w:val="nil"/>
        </w:pBdr>
        <w:spacing w:after="0" w:line="240" w:lineRule="auto"/>
        <w:rPr>
          <w:rFonts w:ascii="Amaranth" w:eastAsia="Amaranth" w:hAnsi="Amaranth" w:cs="Amaranth"/>
        </w:rPr>
      </w:pPr>
    </w:p>
    <w:p w14:paraId="1D6F0F7E" w14:textId="77777777" w:rsidR="00C41817" w:rsidRDefault="007F57E2">
      <w:pPr>
        <w:pBdr>
          <w:top w:val="nil"/>
          <w:left w:val="nil"/>
          <w:bottom w:val="nil"/>
          <w:right w:val="nil"/>
          <w:between w:val="nil"/>
        </w:pBdr>
        <w:spacing w:after="0" w:line="240" w:lineRule="auto"/>
        <w:ind w:left="-120"/>
        <w:jc w:val="center"/>
        <w:rPr>
          <w:rFonts w:ascii="Amaranth" w:eastAsia="Amaranth" w:hAnsi="Amaranth" w:cs="Amaranth"/>
          <w:b/>
          <w:sz w:val="28"/>
          <w:szCs w:val="28"/>
        </w:rPr>
      </w:pPr>
      <w:r>
        <w:rPr>
          <w:rFonts w:ascii="Amaranth" w:eastAsia="Amaranth" w:hAnsi="Amaranth" w:cs="Amaranth"/>
          <w:b/>
          <w:sz w:val="28"/>
          <w:szCs w:val="28"/>
        </w:rPr>
        <w:t>Rubric</w:t>
      </w:r>
    </w:p>
    <w:tbl>
      <w:tblPr>
        <w:tblStyle w:val="a"/>
        <w:tblW w:w="10740" w:type="dxa"/>
        <w:tblInd w:w="-650" w:type="dxa"/>
        <w:tblBorders>
          <w:top w:val="nil"/>
          <w:left w:val="nil"/>
          <w:bottom w:val="nil"/>
          <w:right w:val="nil"/>
          <w:insideH w:val="nil"/>
          <w:insideV w:val="nil"/>
        </w:tblBorders>
        <w:tblLayout w:type="fixed"/>
        <w:tblLook w:val="0600" w:firstRow="0" w:lastRow="0" w:firstColumn="0" w:lastColumn="0" w:noHBand="1" w:noVBand="1"/>
      </w:tblPr>
      <w:tblGrid>
        <w:gridCol w:w="360"/>
        <w:gridCol w:w="2895"/>
        <w:gridCol w:w="2640"/>
        <w:gridCol w:w="2265"/>
        <w:gridCol w:w="2580"/>
      </w:tblGrid>
      <w:tr w:rsidR="00C41817" w14:paraId="123362B7" w14:textId="77777777">
        <w:tc>
          <w:tcPr>
            <w:tcW w:w="360" w:type="dxa"/>
            <w:tcBorders>
              <w:top w:val="single" w:sz="8" w:space="0" w:color="000000"/>
              <w:left w:val="single" w:sz="8" w:space="0" w:color="000000"/>
              <w:bottom w:val="single" w:sz="8" w:space="0" w:color="000000"/>
              <w:right w:val="single" w:sz="8" w:space="0" w:color="FFFFFF"/>
            </w:tcBorders>
            <w:shd w:val="clear" w:color="auto" w:fill="auto"/>
            <w:tcMar>
              <w:top w:w="100" w:type="dxa"/>
              <w:left w:w="100" w:type="dxa"/>
              <w:bottom w:w="100" w:type="dxa"/>
              <w:right w:w="100" w:type="dxa"/>
            </w:tcMar>
          </w:tcPr>
          <w:p w14:paraId="48B2241F" w14:textId="77777777" w:rsidR="00C41817" w:rsidRDefault="00C41817">
            <w:pPr>
              <w:pBdr>
                <w:top w:val="nil"/>
                <w:left w:val="nil"/>
                <w:bottom w:val="nil"/>
                <w:right w:val="nil"/>
                <w:between w:val="nil"/>
              </w:pBdr>
              <w:spacing w:after="0" w:line="240" w:lineRule="auto"/>
              <w:ind w:left="100" w:right="140" w:firstLine="40"/>
              <w:rPr>
                <w:rFonts w:ascii="Amaranth" w:eastAsia="Amaranth" w:hAnsi="Amaranth" w:cs="Amaranth"/>
                <w:sz w:val="18"/>
                <w:szCs w:val="18"/>
              </w:rPr>
            </w:pPr>
          </w:p>
        </w:tc>
        <w:tc>
          <w:tcPr>
            <w:tcW w:w="2895" w:type="dxa"/>
            <w:tcBorders>
              <w:top w:val="single" w:sz="8" w:space="0" w:color="000000"/>
              <w:bottom w:val="single" w:sz="8" w:space="0" w:color="000000"/>
              <w:right w:val="single" w:sz="8" w:space="0" w:color="000000"/>
            </w:tcBorders>
            <w:shd w:val="clear" w:color="auto" w:fill="CBDCA8"/>
            <w:tcMar>
              <w:top w:w="100" w:type="dxa"/>
              <w:left w:w="100" w:type="dxa"/>
              <w:bottom w:w="100" w:type="dxa"/>
              <w:right w:w="100" w:type="dxa"/>
            </w:tcMar>
          </w:tcPr>
          <w:p w14:paraId="7520A0CF" w14:textId="77777777" w:rsidR="00C41817" w:rsidRDefault="007F57E2">
            <w:pPr>
              <w:pBdr>
                <w:top w:val="nil"/>
                <w:left w:val="nil"/>
                <w:bottom w:val="nil"/>
                <w:right w:val="nil"/>
                <w:between w:val="nil"/>
              </w:pBdr>
              <w:spacing w:after="0" w:line="240" w:lineRule="auto"/>
              <w:ind w:left="140" w:right="140"/>
              <w:rPr>
                <w:rFonts w:ascii="Amaranth" w:eastAsia="Amaranth" w:hAnsi="Amaranth" w:cs="Amaranth"/>
                <w:b/>
                <w:sz w:val="24"/>
                <w:szCs w:val="24"/>
                <w:shd w:val="clear" w:color="auto" w:fill="CBDCA8"/>
              </w:rPr>
            </w:pPr>
            <w:r>
              <w:rPr>
                <w:rFonts w:ascii="Amaranth" w:eastAsia="Amaranth" w:hAnsi="Amaranth" w:cs="Amaranth"/>
                <w:b/>
                <w:sz w:val="24"/>
                <w:szCs w:val="24"/>
                <w:shd w:val="clear" w:color="auto" w:fill="CBDCA8"/>
              </w:rPr>
              <w:t>Argument</w:t>
            </w:r>
          </w:p>
          <w:p w14:paraId="7FC62672" w14:textId="77777777" w:rsidR="00C41817" w:rsidRDefault="007F57E2">
            <w:pPr>
              <w:pBdr>
                <w:top w:val="nil"/>
                <w:left w:val="nil"/>
                <w:bottom w:val="nil"/>
                <w:right w:val="nil"/>
                <w:between w:val="nil"/>
              </w:pBdr>
              <w:spacing w:after="0" w:line="240" w:lineRule="auto"/>
              <w:ind w:left="140" w:right="140"/>
              <w:rPr>
                <w:rFonts w:ascii="Amaranth" w:eastAsia="Amaranth" w:hAnsi="Amaranth" w:cs="Amaranth"/>
                <w:b/>
                <w:sz w:val="18"/>
                <w:szCs w:val="18"/>
                <w:shd w:val="clear" w:color="auto" w:fill="CBDCA8"/>
              </w:rPr>
            </w:pPr>
            <w:r>
              <w:rPr>
                <w:rFonts w:ascii="Amaranth" w:eastAsia="Amaranth" w:hAnsi="Amaranth" w:cs="Amaranth"/>
                <w:b/>
                <w:sz w:val="18"/>
                <w:szCs w:val="18"/>
                <w:shd w:val="clear" w:color="auto" w:fill="CBDCA8"/>
              </w:rPr>
              <w:t xml:space="preserve">60 points </w:t>
            </w:r>
          </w:p>
        </w:tc>
        <w:tc>
          <w:tcPr>
            <w:tcW w:w="2640" w:type="dxa"/>
            <w:tcBorders>
              <w:top w:val="single" w:sz="8" w:space="0" w:color="000000"/>
              <w:bottom w:val="single" w:sz="8" w:space="0" w:color="000000"/>
              <w:right w:val="single" w:sz="8" w:space="0" w:color="000000"/>
            </w:tcBorders>
            <w:shd w:val="clear" w:color="auto" w:fill="CBDCA8"/>
            <w:tcMar>
              <w:top w:w="100" w:type="dxa"/>
              <w:left w:w="100" w:type="dxa"/>
              <w:bottom w:w="100" w:type="dxa"/>
              <w:right w:w="100" w:type="dxa"/>
            </w:tcMar>
          </w:tcPr>
          <w:p w14:paraId="6FBDF05A" w14:textId="77777777" w:rsidR="00C41817" w:rsidRDefault="007F57E2">
            <w:pPr>
              <w:pBdr>
                <w:top w:val="nil"/>
                <w:left w:val="nil"/>
                <w:bottom w:val="nil"/>
                <w:right w:val="nil"/>
                <w:between w:val="nil"/>
              </w:pBdr>
              <w:spacing w:after="0" w:line="240" w:lineRule="auto"/>
              <w:ind w:left="140" w:right="140"/>
              <w:rPr>
                <w:rFonts w:ascii="Amaranth" w:eastAsia="Amaranth" w:hAnsi="Amaranth" w:cs="Amaranth"/>
                <w:b/>
                <w:sz w:val="24"/>
                <w:szCs w:val="24"/>
                <w:shd w:val="clear" w:color="auto" w:fill="CBDCA8"/>
              </w:rPr>
            </w:pPr>
            <w:r>
              <w:rPr>
                <w:rFonts w:ascii="Amaranth" w:eastAsia="Amaranth" w:hAnsi="Amaranth" w:cs="Amaranth"/>
                <w:b/>
                <w:sz w:val="24"/>
                <w:szCs w:val="24"/>
                <w:shd w:val="clear" w:color="auto" w:fill="CBDCA8"/>
              </w:rPr>
              <w:t>Organization and paragraphs</w:t>
            </w:r>
          </w:p>
          <w:p w14:paraId="64BAA028" w14:textId="77777777" w:rsidR="00C41817" w:rsidRDefault="007F57E2">
            <w:pPr>
              <w:pBdr>
                <w:top w:val="nil"/>
                <w:left w:val="nil"/>
                <w:bottom w:val="nil"/>
                <w:right w:val="nil"/>
                <w:between w:val="nil"/>
              </w:pBdr>
              <w:spacing w:after="0" w:line="240" w:lineRule="auto"/>
              <w:ind w:left="140" w:right="140"/>
              <w:rPr>
                <w:rFonts w:ascii="Amaranth" w:eastAsia="Amaranth" w:hAnsi="Amaranth" w:cs="Amaranth"/>
                <w:b/>
                <w:sz w:val="18"/>
                <w:szCs w:val="18"/>
                <w:shd w:val="clear" w:color="auto" w:fill="CBDCA8"/>
              </w:rPr>
            </w:pPr>
            <w:r>
              <w:rPr>
                <w:rFonts w:ascii="Amaranth" w:eastAsia="Amaranth" w:hAnsi="Amaranth" w:cs="Amaranth"/>
                <w:b/>
                <w:sz w:val="18"/>
                <w:szCs w:val="18"/>
                <w:shd w:val="clear" w:color="auto" w:fill="CBDCA8"/>
              </w:rPr>
              <w:t xml:space="preserve">30 points </w:t>
            </w:r>
          </w:p>
        </w:tc>
        <w:tc>
          <w:tcPr>
            <w:tcW w:w="2265" w:type="dxa"/>
            <w:tcBorders>
              <w:top w:val="single" w:sz="8" w:space="0" w:color="000000"/>
              <w:bottom w:val="single" w:sz="8" w:space="0" w:color="000000"/>
              <w:right w:val="single" w:sz="8" w:space="0" w:color="000000"/>
            </w:tcBorders>
            <w:shd w:val="clear" w:color="auto" w:fill="CBDCA8"/>
            <w:tcMar>
              <w:top w:w="100" w:type="dxa"/>
              <w:left w:w="100" w:type="dxa"/>
              <w:bottom w:w="100" w:type="dxa"/>
              <w:right w:w="100" w:type="dxa"/>
            </w:tcMar>
          </w:tcPr>
          <w:p w14:paraId="669F1B49" w14:textId="77777777" w:rsidR="00C41817" w:rsidRDefault="007F57E2">
            <w:pPr>
              <w:pBdr>
                <w:top w:val="nil"/>
                <w:left w:val="nil"/>
                <w:bottom w:val="nil"/>
                <w:right w:val="nil"/>
                <w:between w:val="nil"/>
              </w:pBdr>
              <w:spacing w:after="0" w:line="240" w:lineRule="auto"/>
              <w:ind w:left="140" w:right="140"/>
              <w:rPr>
                <w:rFonts w:ascii="Amaranth" w:eastAsia="Amaranth" w:hAnsi="Amaranth" w:cs="Amaranth"/>
                <w:b/>
                <w:sz w:val="24"/>
                <w:szCs w:val="24"/>
                <w:shd w:val="clear" w:color="auto" w:fill="CBDCA8"/>
              </w:rPr>
            </w:pPr>
            <w:r>
              <w:rPr>
                <w:rFonts w:ascii="Amaranth" w:eastAsia="Amaranth" w:hAnsi="Amaranth" w:cs="Amaranth"/>
                <w:b/>
                <w:sz w:val="24"/>
                <w:szCs w:val="24"/>
                <w:shd w:val="clear" w:color="auto" w:fill="CBDCA8"/>
              </w:rPr>
              <w:t>Style and sentences</w:t>
            </w:r>
          </w:p>
          <w:p w14:paraId="00E6A9EC" w14:textId="77777777" w:rsidR="00C41817" w:rsidRDefault="007F57E2">
            <w:pPr>
              <w:pBdr>
                <w:top w:val="nil"/>
                <w:left w:val="nil"/>
                <w:bottom w:val="nil"/>
                <w:right w:val="nil"/>
                <w:between w:val="nil"/>
              </w:pBdr>
              <w:spacing w:after="0" w:line="240" w:lineRule="auto"/>
              <w:ind w:left="140" w:right="140"/>
              <w:rPr>
                <w:rFonts w:ascii="Amaranth" w:eastAsia="Amaranth" w:hAnsi="Amaranth" w:cs="Amaranth"/>
                <w:b/>
                <w:sz w:val="18"/>
                <w:szCs w:val="18"/>
                <w:shd w:val="clear" w:color="auto" w:fill="CBDCA8"/>
              </w:rPr>
            </w:pPr>
            <w:r>
              <w:rPr>
                <w:rFonts w:ascii="Amaranth" w:eastAsia="Amaranth" w:hAnsi="Amaranth" w:cs="Amaranth"/>
                <w:b/>
                <w:sz w:val="18"/>
                <w:szCs w:val="18"/>
                <w:shd w:val="clear" w:color="auto" w:fill="CBDCA8"/>
              </w:rPr>
              <w:t xml:space="preserve">30 points </w:t>
            </w:r>
          </w:p>
        </w:tc>
        <w:tc>
          <w:tcPr>
            <w:tcW w:w="2580" w:type="dxa"/>
            <w:tcBorders>
              <w:top w:val="single" w:sz="8" w:space="0" w:color="000000"/>
              <w:bottom w:val="single" w:sz="8" w:space="0" w:color="000000"/>
              <w:right w:val="single" w:sz="8" w:space="0" w:color="000000"/>
            </w:tcBorders>
            <w:shd w:val="clear" w:color="auto" w:fill="CBDCA8"/>
            <w:tcMar>
              <w:top w:w="100" w:type="dxa"/>
              <w:left w:w="100" w:type="dxa"/>
              <w:bottom w:w="100" w:type="dxa"/>
              <w:right w:w="100" w:type="dxa"/>
            </w:tcMar>
          </w:tcPr>
          <w:p w14:paraId="2C117384" w14:textId="77777777" w:rsidR="00C41817" w:rsidRDefault="007F57E2">
            <w:pPr>
              <w:pBdr>
                <w:top w:val="nil"/>
                <w:left w:val="nil"/>
                <w:bottom w:val="nil"/>
                <w:right w:val="nil"/>
                <w:between w:val="nil"/>
              </w:pBdr>
              <w:spacing w:after="0" w:line="240" w:lineRule="auto"/>
              <w:ind w:left="140" w:right="140"/>
              <w:rPr>
                <w:rFonts w:ascii="Amaranth" w:eastAsia="Amaranth" w:hAnsi="Amaranth" w:cs="Amaranth"/>
                <w:b/>
                <w:sz w:val="24"/>
                <w:szCs w:val="24"/>
                <w:shd w:val="clear" w:color="auto" w:fill="CBDCA8"/>
              </w:rPr>
            </w:pPr>
            <w:r>
              <w:rPr>
                <w:rFonts w:ascii="Amaranth" w:eastAsia="Amaranth" w:hAnsi="Amaranth" w:cs="Amaranth"/>
                <w:b/>
                <w:sz w:val="24"/>
                <w:szCs w:val="24"/>
                <w:shd w:val="clear" w:color="auto" w:fill="CBDCA8"/>
              </w:rPr>
              <w:t>Conventions</w:t>
            </w:r>
          </w:p>
          <w:p w14:paraId="34894BF2" w14:textId="77777777" w:rsidR="00C41817" w:rsidRDefault="007F57E2">
            <w:pPr>
              <w:pBdr>
                <w:top w:val="nil"/>
                <w:left w:val="nil"/>
                <w:bottom w:val="nil"/>
                <w:right w:val="nil"/>
                <w:between w:val="nil"/>
              </w:pBdr>
              <w:spacing w:after="0" w:line="240" w:lineRule="auto"/>
              <w:ind w:left="140" w:right="140"/>
              <w:rPr>
                <w:rFonts w:ascii="Amaranth" w:eastAsia="Amaranth" w:hAnsi="Amaranth" w:cs="Amaranth"/>
                <w:b/>
                <w:sz w:val="18"/>
                <w:szCs w:val="18"/>
                <w:shd w:val="clear" w:color="auto" w:fill="CBDCA8"/>
              </w:rPr>
            </w:pPr>
            <w:r>
              <w:rPr>
                <w:rFonts w:ascii="Amaranth" w:eastAsia="Amaranth" w:hAnsi="Amaranth" w:cs="Amaranth"/>
                <w:b/>
                <w:sz w:val="18"/>
                <w:szCs w:val="18"/>
                <w:shd w:val="clear" w:color="auto" w:fill="CBDCA8"/>
              </w:rPr>
              <w:t xml:space="preserve"> 30 points </w:t>
            </w:r>
          </w:p>
        </w:tc>
      </w:tr>
      <w:tr w:rsidR="00C41817" w14:paraId="2DA0B406" w14:textId="77777777">
        <w:trPr>
          <w:trHeight w:val="3780"/>
        </w:trPr>
        <w:tc>
          <w:tcPr>
            <w:tcW w:w="360" w:type="dxa"/>
            <w:tcBorders>
              <w:left w:val="single" w:sz="8" w:space="0" w:color="000000"/>
              <w:bottom w:val="single" w:sz="8" w:space="0" w:color="000000"/>
              <w:right w:val="single" w:sz="8" w:space="0" w:color="000000"/>
            </w:tcBorders>
            <w:shd w:val="clear" w:color="auto" w:fill="CBDCA8"/>
            <w:tcMar>
              <w:top w:w="100" w:type="dxa"/>
              <w:left w:w="100" w:type="dxa"/>
              <w:bottom w:w="100" w:type="dxa"/>
              <w:right w:w="100" w:type="dxa"/>
            </w:tcMar>
          </w:tcPr>
          <w:p w14:paraId="585EAF81" w14:textId="77777777" w:rsidR="00C41817" w:rsidRDefault="00C41817">
            <w:pPr>
              <w:pBdr>
                <w:top w:val="nil"/>
                <w:left w:val="nil"/>
                <w:bottom w:val="nil"/>
                <w:right w:val="nil"/>
                <w:between w:val="nil"/>
              </w:pBdr>
              <w:spacing w:after="0" w:line="240" w:lineRule="auto"/>
              <w:ind w:left="140" w:right="140"/>
              <w:rPr>
                <w:rFonts w:ascii="Amaranth" w:eastAsia="Amaranth" w:hAnsi="Amaranth" w:cs="Amaranth"/>
                <w:sz w:val="18"/>
                <w:szCs w:val="18"/>
                <w:shd w:val="clear" w:color="auto" w:fill="CBDCA8"/>
              </w:rPr>
            </w:pPr>
          </w:p>
        </w:tc>
        <w:tc>
          <w:tcPr>
            <w:tcW w:w="2895" w:type="dxa"/>
            <w:tcBorders>
              <w:bottom w:val="single" w:sz="8" w:space="0" w:color="000000"/>
              <w:right w:val="single" w:sz="8" w:space="0" w:color="000000"/>
            </w:tcBorders>
            <w:shd w:val="clear" w:color="auto" w:fill="auto"/>
            <w:tcMar>
              <w:top w:w="100" w:type="dxa"/>
              <w:left w:w="100" w:type="dxa"/>
              <w:bottom w:w="100" w:type="dxa"/>
              <w:right w:w="100" w:type="dxa"/>
            </w:tcMar>
          </w:tcPr>
          <w:p w14:paraId="437FBFB8" w14:textId="77777777" w:rsidR="00C41817" w:rsidRDefault="007F57E2">
            <w:pPr>
              <w:pBdr>
                <w:top w:val="nil"/>
                <w:left w:val="nil"/>
                <w:bottom w:val="nil"/>
                <w:right w:val="nil"/>
                <w:between w:val="nil"/>
              </w:pBdr>
              <w:spacing w:after="0" w:line="240" w:lineRule="auto"/>
              <w:ind w:right="140"/>
              <w:rPr>
                <w:rFonts w:ascii="Amaranth" w:eastAsia="Amaranth" w:hAnsi="Amaranth" w:cs="Amaranth"/>
                <w:sz w:val="18"/>
                <w:szCs w:val="18"/>
              </w:rPr>
            </w:pPr>
            <w:r>
              <w:rPr>
                <w:rFonts w:ascii="Amaranth" w:eastAsia="Amaranth" w:hAnsi="Amaranth" w:cs="Amaranth"/>
                <w:sz w:val="18"/>
                <w:szCs w:val="18"/>
              </w:rPr>
              <w:t>-The paper presents a logical, persuasive and scholarly argument about the topic.</w:t>
            </w:r>
          </w:p>
          <w:p w14:paraId="16EABB88" w14:textId="77777777" w:rsidR="00C41817" w:rsidRDefault="00C41817">
            <w:pPr>
              <w:pBdr>
                <w:top w:val="nil"/>
                <w:left w:val="nil"/>
                <w:bottom w:val="nil"/>
                <w:right w:val="nil"/>
                <w:between w:val="nil"/>
              </w:pBdr>
              <w:spacing w:after="0" w:line="240" w:lineRule="auto"/>
              <w:ind w:right="140"/>
              <w:rPr>
                <w:rFonts w:ascii="Amaranth" w:eastAsia="Amaranth" w:hAnsi="Amaranth" w:cs="Amaranth"/>
                <w:sz w:val="18"/>
                <w:szCs w:val="18"/>
              </w:rPr>
            </w:pPr>
          </w:p>
          <w:p w14:paraId="46290109" w14:textId="77777777" w:rsidR="00C41817" w:rsidRDefault="007F57E2">
            <w:pPr>
              <w:pBdr>
                <w:top w:val="nil"/>
                <w:left w:val="nil"/>
                <w:bottom w:val="nil"/>
                <w:right w:val="nil"/>
                <w:between w:val="nil"/>
              </w:pBdr>
              <w:spacing w:after="0" w:line="240" w:lineRule="auto"/>
              <w:ind w:right="140"/>
              <w:rPr>
                <w:rFonts w:ascii="Amaranth" w:eastAsia="Amaranth" w:hAnsi="Amaranth" w:cs="Amaranth"/>
                <w:sz w:val="18"/>
                <w:szCs w:val="18"/>
              </w:rPr>
            </w:pPr>
            <w:r>
              <w:rPr>
                <w:rFonts w:ascii="Amaranth" w:eastAsia="Amaranth" w:hAnsi="Amaranth" w:cs="Amaranth"/>
                <w:sz w:val="18"/>
                <w:szCs w:val="18"/>
              </w:rPr>
              <w:t xml:space="preserve">-The paper is insightful and complex   </w:t>
            </w:r>
          </w:p>
          <w:p w14:paraId="2E198BB0" w14:textId="77777777" w:rsidR="00C41817" w:rsidRDefault="00C41817">
            <w:pPr>
              <w:pBdr>
                <w:top w:val="nil"/>
                <w:left w:val="nil"/>
                <w:bottom w:val="nil"/>
                <w:right w:val="nil"/>
                <w:between w:val="nil"/>
              </w:pBdr>
              <w:spacing w:after="0" w:line="240" w:lineRule="auto"/>
              <w:ind w:right="140"/>
              <w:rPr>
                <w:rFonts w:ascii="Amaranth" w:eastAsia="Amaranth" w:hAnsi="Amaranth" w:cs="Amaranth"/>
                <w:sz w:val="18"/>
                <w:szCs w:val="18"/>
              </w:rPr>
            </w:pPr>
          </w:p>
          <w:p w14:paraId="2510BB7A" w14:textId="77777777" w:rsidR="00C41817" w:rsidRDefault="007F57E2">
            <w:pPr>
              <w:pBdr>
                <w:top w:val="nil"/>
                <w:left w:val="nil"/>
                <w:bottom w:val="nil"/>
                <w:right w:val="nil"/>
                <w:between w:val="nil"/>
              </w:pBdr>
              <w:spacing w:after="0" w:line="240" w:lineRule="auto"/>
              <w:ind w:right="140"/>
              <w:rPr>
                <w:rFonts w:ascii="Amaranth" w:eastAsia="Amaranth" w:hAnsi="Amaranth" w:cs="Amaranth"/>
                <w:sz w:val="18"/>
                <w:szCs w:val="18"/>
              </w:rPr>
            </w:pPr>
            <w:r>
              <w:rPr>
                <w:rFonts w:ascii="Amaranth" w:eastAsia="Amaranth" w:hAnsi="Amaranth" w:cs="Amaranth"/>
                <w:sz w:val="18"/>
                <w:szCs w:val="18"/>
              </w:rPr>
              <w:t>-The paper addresses relevant authorities on the topic and clearly explains the connection between the source and the paper’s main idea.</w:t>
            </w:r>
          </w:p>
          <w:p w14:paraId="0DF4F750" w14:textId="77777777" w:rsidR="00C41817" w:rsidRDefault="00C41817">
            <w:pPr>
              <w:pBdr>
                <w:top w:val="nil"/>
                <w:left w:val="nil"/>
                <w:bottom w:val="nil"/>
                <w:right w:val="nil"/>
                <w:between w:val="nil"/>
              </w:pBdr>
              <w:spacing w:after="0" w:line="240" w:lineRule="auto"/>
              <w:ind w:right="140"/>
              <w:rPr>
                <w:rFonts w:ascii="Amaranth" w:eastAsia="Amaranth" w:hAnsi="Amaranth" w:cs="Amaranth"/>
                <w:sz w:val="18"/>
                <w:szCs w:val="18"/>
              </w:rPr>
            </w:pPr>
          </w:p>
          <w:p w14:paraId="09C07030" w14:textId="77777777" w:rsidR="00C41817" w:rsidRDefault="007F57E2">
            <w:pPr>
              <w:pBdr>
                <w:top w:val="nil"/>
                <w:left w:val="nil"/>
                <w:bottom w:val="nil"/>
                <w:right w:val="nil"/>
                <w:between w:val="nil"/>
              </w:pBdr>
              <w:spacing w:after="0" w:line="240" w:lineRule="auto"/>
              <w:ind w:right="140"/>
              <w:rPr>
                <w:rFonts w:ascii="Amaranth" w:eastAsia="Amaranth" w:hAnsi="Amaranth" w:cs="Amaranth"/>
                <w:sz w:val="18"/>
                <w:szCs w:val="18"/>
              </w:rPr>
            </w:pPr>
            <w:r>
              <w:rPr>
                <w:rFonts w:ascii="Amaranth" w:eastAsia="Amaranth" w:hAnsi="Amaranth" w:cs="Amaranth"/>
                <w:sz w:val="18"/>
                <w:szCs w:val="18"/>
              </w:rPr>
              <w:t>-The paper weighs a wide variety range of viewpoints, and persuasively articulates the reasons for its position on the topic.</w:t>
            </w:r>
          </w:p>
          <w:p w14:paraId="369C96CA" w14:textId="77777777" w:rsidR="00C41817" w:rsidRDefault="007F57E2">
            <w:pPr>
              <w:pBdr>
                <w:top w:val="nil"/>
                <w:left w:val="nil"/>
                <w:bottom w:val="nil"/>
                <w:right w:val="nil"/>
                <w:between w:val="nil"/>
              </w:pBdr>
              <w:spacing w:after="0" w:line="240" w:lineRule="auto"/>
              <w:ind w:right="140"/>
              <w:rPr>
                <w:rFonts w:ascii="Amaranth" w:eastAsia="Amaranth" w:hAnsi="Amaranth" w:cs="Amaranth"/>
                <w:sz w:val="18"/>
                <w:szCs w:val="18"/>
              </w:rPr>
            </w:pPr>
            <w:r>
              <w:rPr>
                <w:rFonts w:ascii="Amaranth" w:eastAsia="Amaranth" w:hAnsi="Amaranth" w:cs="Amaranth"/>
                <w:sz w:val="18"/>
                <w:szCs w:val="18"/>
              </w:rPr>
              <w:t xml:space="preserve">                       </w:t>
            </w:r>
            <w:r>
              <w:rPr>
                <w:rFonts w:ascii="Amaranth" w:eastAsia="Amaranth" w:hAnsi="Amaranth" w:cs="Amaranth"/>
                <w:sz w:val="18"/>
                <w:szCs w:val="18"/>
              </w:rPr>
              <w:tab/>
            </w:r>
          </w:p>
          <w:p w14:paraId="30518373" w14:textId="77777777" w:rsidR="00C41817" w:rsidRDefault="007F57E2">
            <w:pPr>
              <w:pBdr>
                <w:top w:val="nil"/>
                <w:left w:val="nil"/>
                <w:bottom w:val="nil"/>
                <w:right w:val="nil"/>
                <w:between w:val="nil"/>
              </w:pBdr>
              <w:spacing w:after="0" w:line="240" w:lineRule="auto"/>
              <w:ind w:right="140"/>
              <w:rPr>
                <w:rFonts w:ascii="Amaranth" w:eastAsia="Amaranth" w:hAnsi="Amaranth" w:cs="Amaranth"/>
                <w:sz w:val="18"/>
                <w:szCs w:val="18"/>
              </w:rPr>
            </w:pPr>
            <w:r>
              <w:rPr>
                <w:rFonts w:ascii="Amaranth" w:eastAsia="Amaranth" w:hAnsi="Amaranth" w:cs="Amaranth"/>
                <w:sz w:val="18"/>
                <w:szCs w:val="18"/>
              </w:rPr>
              <w:t>-The paper creates genuine interest in the topic</w:t>
            </w: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422C91DE" w14:textId="77777777" w:rsidR="00C41817" w:rsidRDefault="007F57E2">
            <w:pPr>
              <w:pBdr>
                <w:top w:val="nil"/>
                <w:left w:val="nil"/>
                <w:bottom w:val="nil"/>
                <w:right w:val="nil"/>
                <w:between w:val="nil"/>
              </w:pBdr>
              <w:spacing w:after="0" w:line="240" w:lineRule="auto"/>
              <w:ind w:right="140"/>
              <w:rPr>
                <w:rFonts w:ascii="Amaranth" w:eastAsia="Amaranth" w:hAnsi="Amaranth" w:cs="Amaranth"/>
                <w:sz w:val="18"/>
                <w:szCs w:val="18"/>
              </w:rPr>
            </w:pPr>
            <w:r>
              <w:rPr>
                <w:rFonts w:ascii="Amaranth" w:eastAsia="Amaranth" w:hAnsi="Amaranth" w:cs="Amaranth"/>
                <w:sz w:val="18"/>
                <w:szCs w:val="18"/>
              </w:rPr>
              <w:t>-The structure of the paper’s argument is clear and logical.</w:t>
            </w:r>
          </w:p>
          <w:p w14:paraId="42E4C93D" w14:textId="77777777" w:rsidR="00C41817" w:rsidRDefault="00C41817">
            <w:pPr>
              <w:pBdr>
                <w:top w:val="nil"/>
                <w:left w:val="nil"/>
                <w:bottom w:val="nil"/>
                <w:right w:val="nil"/>
                <w:between w:val="nil"/>
              </w:pBdr>
              <w:spacing w:after="0" w:line="240" w:lineRule="auto"/>
              <w:ind w:right="140"/>
              <w:rPr>
                <w:rFonts w:ascii="Amaranth" w:eastAsia="Amaranth" w:hAnsi="Amaranth" w:cs="Amaranth"/>
                <w:sz w:val="18"/>
                <w:szCs w:val="18"/>
              </w:rPr>
            </w:pPr>
          </w:p>
          <w:p w14:paraId="5E090FF6" w14:textId="77777777" w:rsidR="00C41817" w:rsidRDefault="007F57E2">
            <w:pPr>
              <w:pBdr>
                <w:top w:val="nil"/>
                <w:left w:val="nil"/>
                <w:bottom w:val="nil"/>
                <w:right w:val="nil"/>
                <w:between w:val="nil"/>
              </w:pBdr>
              <w:spacing w:after="0" w:line="240" w:lineRule="auto"/>
              <w:ind w:right="140"/>
              <w:rPr>
                <w:rFonts w:ascii="Amaranth" w:eastAsia="Amaranth" w:hAnsi="Amaranth" w:cs="Amaranth"/>
                <w:sz w:val="18"/>
                <w:szCs w:val="18"/>
              </w:rPr>
            </w:pPr>
            <w:r>
              <w:rPr>
                <w:rFonts w:ascii="Amaranth" w:eastAsia="Amaranth" w:hAnsi="Amaranth" w:cs="Amaranth"/>
                <w:sz w:val="18"/>
                <w:szCs w:val="18"/>
              </w:rPr>
              <w:t>-Individual paragraphs are unified and coherent.</w:t>
            </w:r>
          </w:p>
          <w:p w14:paraId="1CB6324D" w14:textId="77777777" w:rsidR="00C41817" w:rsidRDefault="00C41817">
            <w:pPr>
              <w:pBdr>
                <w:top w:val="nil"/>
                <w:left w:val="nil"/>
                <w:bottom w:val="nil"/>
                <w:right w:val="nil"/>
                <w:between w:val="nil"/>
              </w:pBdr>
              <w:spacing w:after="0" w:line="240" w:lineRule="auto"/>
              <w:ind w:right="140"/>
              <w:rPr>
                <w:rFonts w:ascii="Amaranth" w:eastAsia="Amaranth" w:hAnsi="Amaranth" w:cs="Amaranth"/>
                <w:sz w:val="18"/>
                <w:szCs w:val="18"/>
              </w:rPr>
            </w:pPr>
          </w:p>
          <w:p w14:paraId="14B476F6" w14:textId="77777777" w:rsidR="00C41817" w:rsidRDefault="007F57E2">
            <w:pPr>
              <w:pBdr>
                <w:top w:val="nil"/>
                <w:left w:val="nil"/>
                <w:bottom w:val="nil"/>
                <w:right w:val="nil"/>
                <w:between w:val="nil"/>
              </w:pBdr>
              <w:spacing w:after="0" w:line="240" w:lineRule="auto"/>
              <w:ind w:right="140"/>
              <w:rPr>
                <w:rFonts w:ascii="Amaranth" w:eastAsia="Amaranth" w:hAnsi="Amaranth" w:cs="Amaranth"/>
                <w:sz w:val="18"/>
                <w:szCs w:val="18"/>
              </w:rPr>
            </w:pPr>
            <w:r>
              <w:rPr>
                <w:rFonts w:ascii="Amaranth" w:eastAsia="Amaranth" w:hAnsi="Amaranth" w:cs="Amaranth"/>
                <w:sz w:val="18"/>
                <w:szCs w:val="18"/>
              </w:rPr>
              <w:t>-Transitions between paragraphs underscore the links in the paper’s argument.</w:t>
            </w:r>
          </w:p>
          <w:p w14:paraId="6A447DAD" w14:textId="77777777" w:rsidR="00C41817" w:rsidRDefault="00C41817">
            <w:pPr>
              <w:pBdr>
                <w:top w:val="nil"/>
                <w:left w:val="nil"/>
                <w:bottom w:val="nil"/>
                <w:right w:val="nil"/>
                <w:between w:val="nil"/>
              </w:pBdr>
              <w:spacing w:after="0" w:line="240" w:lineRule="auto"/>
              <w:ind w:right="140"/>
              <w:rPr>
                <w:rFonts w:ascii="Amaranth" w:eastAsia="Amaranth" w:hAnsi="Amaranth" w:cs="Amaranth"/>
                <w:sz w:val="18"/>
                <w:szCs w:val="18"/>
              </w:rPr>
            </w:pPr>
          </w:p>
          <w:p w14:paraId="60964C88" w14:textId="77777777" w:rsidR="00C41817" w:rsidRDefault="007F57E2">
            <w:pPr>
              <w:pBdr>
                <w:top w:val="nil"/>
                <w:left w:val="nil"/>
                <w:bottom w:val="nil"/>
                <w:right w:val="nil"/>
                <w:between w:val="nil"/>
              </w:pBdr>
              <w:spacing w:after="0" w:line="240" w:lineRule="auto"/>
              <w:ind w:right="140"/>
              <w:rPr>
                <w:rFonts w:ascii="Amaranth" w:eastAsia="Amaranth" w:hAnsi="Amaranth" w:cs="Amaranth"/>
                <w:sz w:val="18"/>
                <w:szCs w:val="18"/>
              </w:rPr>
            </w:pPr>
            <w:r>
              <w:rPr>
                <w:rFonts w:ascii="Amaranth" w:eastAsia="Amaranth" w:hAnsi="Amaranth" w:cs="Amaranth"/>
                <w:sz w:val="18"/>
                <w:szCs w:val="18"/>
              </w:rPr>
              <w:t>-The paper possesses a skillful and interesting introduction and conclusion.</w:t>
            </w:r>
          </w:p>
        </w:tc>
        <w:tc>
          <w:tcPr>
            <w:tcW w:w="2265" w:type="dxa"/>
            <w:tcBorders>
              <w:bottom w:val="single" w:sz="8" w:space="0" w:color="000000"/>
              <w:right w:val="single" w:sz="8" w:space="0" w:color="000000"/>
            </w:tcBorders>
            <w:shd w:val="clear" w:color="auto" w:fill="auto"/>
            <w:tcMar>
              <w:top w:w="100" w:type="dxa"/>
              <w:left w:w="100" w:type="dxa"/>
              <w:bottom w:w="100" w:type="dxa"/>
              <w:right w:w="100" w:type="dxa"/>
            </w:tcMar>
          </w:tcPr>
          <w:p w14:paraId="0102F2D3" w14:textId="77777777" w:rsidR="00C41817" w:rsidRDefault="007F57E2">
            <w:pPr>
              <w:pBdr>
                <w:top w:val="nil"/>
                <w:left w:val="nil"/>
                <w:bottom w:val="nil"/>
                <w:right w:val="nil"/>
                <w:between w:val="nil"/>
              </w:pBdr>
              <w:spacing w:after="0" w:line="240" w:lineRule="auto"/>
              <w:ind w:right="140"/>
              <w:rPr>
                <w:rFonts w:ascii="Amaranth" w:eastAsia="Amaranth" w:hAnsi="Amaranth" w:cs="Amaranth"/>
                <w:sz w:val="18"/>
                <w:szCs w:val="18"/>
              </w:rPr>
            </w:pPr>
            <w:r>
              <w:rPr>
                <w:rFonts w:ascii="Amaranth" w:eastAsia="Amaranth" w:hAnsi="Amaranth" w:cs="Amaranth"/>
                <w:sz w:val="18"/>
                <w:szCs w:val="18"/>
              </w:rPr>
              <w:t>-The sentences are consistently clear, coherent, and syntactically varied</w:t>
            </w:r>
          </w:p>
          <w:p w14:paraId="692A2DF7" w14:textId="77777777" w:rsidR="00C41817" w:rsidRDefault="00C41817">
            <w:pPr>
              <w:pBdr>
                <w:top w:val="nil"/>
                <w:left w:val="nil"/>
                <w:bottom w:val="nil"/>
                <w:right w:val="nil"/>
                <w:between w:val="nil"/>
              </w:pBdr>
              <w:spacing w:after="0" w:line="240" w:lineRule="auto"/>
              <w:ind w:right="140"/>
              <w:rPr>
                <w:rFonts w:ascii="Amaranth" w:eastAsia="Amaranth" w:hAnsi="Amaranth" w:cs="Amaranth"/>
                <w:sz w:val="18"/>
                <w:szCs w:val="18"/>
              </w:rPr>
            </w:pPr>
          </w:p>
          <w:p w14:paraId="1232481B" w14:textId="77777777" w:rsidR="00C41817" w:rsidRDefault="007F57E2">
            <w:pPr>
              <w:pBdr>
                <w:top w:val="nil"/>
                <w:left w:val="nil"/>
                <w:bottom w:val="nil"/>
                <w:right w:val="nil"/>
                <w:between w:val="nil"/>
              </w:pBdr>
              <w:spacing w:after="0" w:line="240" w:lineRule="auto"/>
              <w:ind w:right="140"/>
              <w:rPr>
                <w:rFonts w:ascii="Amaranth" w:eastAsia="Amaranth" w:hAnsi="Amaranth" w:cs="Amaranth"/>
                <w:sz w:val="18"/>
                <w:szCs w:val="18"/>
              </w:rPr>
            </w:pPr>
            <w:r>
              <w:rPr>
                <w:rFonts w:ascii="Amaranth" w:eastAsia="Amaranth" w:hAnsi="Amaranth" w:cs="Amaranth"/>
                <w:sz w:val="18"/>
                <w:szCs w:val="18"/>
              </w:rPr>
              <w:t>-Precise word choice and an appropriate tone support the paper’s purpose and display a command of the conventions of academic writing.</w:t>
            </w:r>
          </w:p>
        </w:tc>
        <w:tc>
          <w:tcPr>
            <w:tcW w:w="2580" w:type="dxa"/>
            <w:tcBorders>
              <w:bottom w:val="single" w:sz="8" w:space="0" w:color="000000"/>
              <w:right w:val="single" w:sz="8" w:space="0" w:color="000000"/>
            </w:tcBorders>
            <w:shd w:val="clear" w:color="auto" w:fill="auto"/>
            <w:tcMar>
              <w:top w:w="100" w:type="dxa"/>
              <w:left w:w="100" w:type="dxa"/>
              <w:bottom w:w="100" w:type="dxa"/>
              <w:right w:w="100" w:type="dxa"/>
            </w:tcMar>
          </w:tcPr>
          <w:p w14:paraId="2E04FDEA" w14:textId="77777777" w:rsidR="00C41817" w:rsidRDefault="007F57E2">
            <w:pPr>
              <w:pBdr>
                <w:top w:val="nil"/>
                <w:left w:val="nil"/>
                <w:bottom w:val="nil"/>
                <w:right w:val="nil"/>
                <w:between w:val="nil"/>
              </w:pBdr>
              <w:spacing w:after="0" w:line="240" w:lineRule="auto"/>
              <w:ind w:left="140" w:right="140"/>
              <w:rPr>
                <w:rFonts w:ascii="Amaranth" w:eastAsia="Amaranth" w:hAnsi="Amaranth" w:cs="Amaranth"/>
                <w:sz w:val="18"/>
                <w:szCs w:val="18"/>
              </w:rPr>
            </w:pPr>
            <w:r>
              <w:rPr>
                <w:rFonts w:ascii="Amaranth" w:eastAsia="Amaranth" w:hAnsi="Amaranth" w:cs="Amaranth"/>
                <w:sz w:val="18"/>
                <w:szCs w:val="18"/>
              </w:rPr>
              <w:t>•The grammar, spelling, punctuation, and usage conform to conventions of academic writing and lend credibility to the writer.</w:t>
            </w:r>
          </w:p>
          <w:p w14:paraId="108DC623" w14:textId="77777777" w:rsidR="00C41817" w:rsidRDefault="00C41817">
            <w:pPr>
              <w:pBdr>
                <w:top w:val="nil"/>
                <w:left w:val="nil"/>
                <w:bottom w:val="nil"/>
                <w:right w:val="nil"/>
                <w:between w:val="nil"/>
              </w:pBdr>
              <w:spacing w:after="0" w:line="240" w:lineRule="auto"/>
              <w:ind w:left="140" w:right="140"/>
              <w:rPr>
                <w:rFonts w:ascii="Amaranth" w:eastAsia="Amaranth" w:hAnsi="Amaranth" w:cs="Amaranth"/>
                <w:sz w:val="18"/>
                <w:szCs w:val="18"/>
              </w:rPr>
            </w:pPr>
          </w:p>
          <w:p w14:paraId="29F6F52C" w14:textId="77777777" w:rsidR="00C41817" w:rsidRDefault="007F57E2">
            <w:pPr>
              <w:pBdr>
                <w:top w:val="nil"/>
                <w:left w:val="nil"/>
                <w:bottom w:val="nil"/>
                <w:right w:val="nil"/>
                <w:between w:val="nil"/>
              </w:pBdr>
              <w:spacing w:after="0" w:line="240" w:lineRule="auto"/>
              <w:ind w:left="140" w:right="140"/>
              <w:rPr>
                <w:rFonts w:ascii="Amaranth" w:eastAsia="Amaranth" w:hAnsi="Amaranth" w:cs="Amaranth"/>
                <w:sz w:val="18"/>
                <w:szCs w:val="18"/>
              </w:rPr>
            </w:pPr>
            <w:r>
              <w:rPr>
                <w:rFonts w:ascii="Amaranth" w:eastAsia="Amaranth" w:hAnsi="Amaranth" w:cs="Amaranth"/>
                <w:sz w:val="18"/>
                <w:szCs w:val="18"/>
              </w:rPr>
              <w:t>•References to sources are accurately cited and documented using MLA format</w:t>
            </w:r>
          </w:p>
          <w:p w14:paraId="02286544" w14:textId="77777777" w:rsidR="00C41817" w:rsidRDefault="00C41817">
            <w:pPr>
              <w:pBdr>
                <w:top w:val="nil"/>
                <w:left w:val="nil"/>
                <w:bottom w:val="nil"/>
                <w:right w:val="nil"/>
                <w:between w:val="nil"/>
              </w:pBdr>
              <w:spacing w:after="0" w:line="240" w:lineRule="auto"/>
              <w:ind w:left="140" w:right="140"/>
              <w:rPr>
                <w:rFonts w:ascii="Amaranth" w:eastAsia="Amaranth" w:hAnsi="Amaranth" w:cs="Amaranth"/>
                <w:sz w:val="18"/>
                <w:szCs w:val="18"/>
              </w:rPr>
            </w:pPr>
          </w:p>
          <w:p w14:paraId="62C191BB" w14:textId="77777777" w:rsidR="00C41817" w:rsidRDefault="007F57E2">
            <w:pPr>
              <w:pBdr>
                <w:top w:val="nil"/>
                <w:left w:val="nil"/>
                <w:bottom w:val="nil"/>
                <w:right w:val="nil"/>
                <w:between w:val="nil"/>
              </w:pBdr>
              <w:spacing w:after="0" w:line="240" w:lineRule="auto"/>
              <w:ind w:left="140" w:right="140"/>
              <w:rPr>
                <w:rFonts w:ascii="Amaranth" w:eastAsia="Amaranth" w:hAnsi="Amaranth" w:cs="Amaranth"/>
                <w:sz w:val="18"/>
                <w:szCs w:val="18"/>
              </w:rPr>
            </w:pPr>
            <w:r>
              <w:rPr>
                <w:rFonts w:ascii="Amaranth" w:eastAsia="Amaranth" w:hAnsi="Amaranth" w:cs="Amaranth"/>
                <w:sz w:val="18"/>
                <w:szCs w:val="18"/>
              </w:rPr>
              <w:t>•Format is consistently correct and appropriate.</w:t>
            </w:r>
          </w:p>
          <w:p w14:paraId="37009D56" w14:textId="77777777" w:rsidR="00C41817" w:rsidRDefault="007F57E2">
            <w:pPr>
              <w:pBdr>
                <w:top w:val="nil"/>
                <w:left w:val="nil"/>
                <w:bottom w:val="nil"/>
                <w:right w:val="nil"/>
                <w:between w:val="nil"/>
              </w:pBdr>
              <w:spacing w:after="0" w:line="240" w:lineRule="auto"/>
              <w:ind w:left="140" w:right="140"/>
              <w:rPr>
                <w:rFonts w:ascii="Amaranth" w:eastAsia="Amaranth" w:hAnsi="Amaranth" w:cs="Amaranth"/>
                <w:sz w:val="18"/>
                <w:szCs w:val="18"/>
              </w:rPr>
            </w:pPr>
            <w:r>
              <w:rPr>
                <w:rFonts w:ascii="Amaranth" w:eastAsia="Amaranth" w:hAnsi="Amaranth" w:cs="Amaranth"/>
                <w:sz w:val="18"/>
                <w:szCs w:val="18"/>
              </w:rPr>
              <w:t xml:space="preserve"> </w:t>
            </w:r>
          </w:p>
        </w:tc>
      </w:tr>
    </w:tbl>
    <w:p w14:paraId="09272479" w14:textId="77777777" w:rsidR="00C41817" w:rsidRDefault="00C41817">
      <w:pPr>
        <w:pBdr>
          <w:top w:val="nil"/>
          <w:left w:val="nil"/>
          <w:bottom w:val="nil"/>
          <w:right w:val="nil"/>
          <w:between w:val="nil"/>
        </w:pBdr>
        <w:spacing w:after="0" w:line="240" w:lineRule="auto"/>
        <w:rPr>
          <w:rFonts w:ascii="Amaranth" w:eastAsia="Amaranth" w:hAnsi="Amaranth" w:cs="Amaranth"/>
        </w:rPr>
      </w:pPr>
      <w:bookmarkStart w:id="1" w:name="_p7dvi98q2u5a" w:colFirst="0" w:colLast="0"/>
      <w:bookmarkEnd w:id="1"/>
    </w:p>
    <w:p w14:paraId="3DAEE4B6" w14:textId="77777777" w:rsidR="00C41817" w:rsidRDefault="00C41817">
      <w:pPr>
        <w:pBdr>
          <w:top w:val="nil"/>
          <w:left w:val="nil"/>
          <w:bottom w:val="nil"/>
          <w:right w:val="nil"/>
          <w:between w:val="nil"/>
        </w:pBdr>
        <w:spacing w:after="0" w:line="240" w:lineRule="auto"/>
        <w:rPr>
          <w:rFonts w:ascii="Amaranth" w:eastAsia="Amaranth" w:hAnsi="Amaranth" w:cs="Amaranth"/>
        </w:rPr>
      </w:pPr>
      <w:bookmarkStart w:id="2" w:name="_xyj9591ps2tl" w:colFirst="0" w:colLast="0"/>
      <w:bookmarkEnd w:id="2"/>
    </w:p>
    <w:p w14:paraId="79890124" w14:textId="77777777" w:rsidR="00C41817" w:rsidRDefault="007F57E2">
      <w:pPr>
        <w:pBdr>
          <w:top w:val="nil"/>
          <w:left w:val="nil"/>
          <w:bottom w:val="nil"/>
          <w:right w:val="nil"/>
          <w:between w:val="nil"/>
        </w:pBdr>
        <w:spacing w:after="0" w:line="240" w:lineRule="auto"/>
        <w:rPr>
          <w:rFonts w:ascii="Amaranth" w:eastAsia="Amaranth" w:hAnsi="Amaranth" w:cs="Amaranth"/>
          <w:color w:val="333333"/>
          <w:sz w:val="20"/>
          <w:szCs w:val="20"/>
          <w:highlight w:val="white"/>
        </w:rPr>
      </w:pPr>
      <w:bookmarkStart w:id="3" w:name="_drjlmlc7xble" w:colFirst="0" w:colLast="0"/>
      <w:bookmarkEnd w:id="3"/>
      <w:r>
        <w:rPr>
          <w:rFonts w:ascii="Amaranth" w:eastAsia="Amaranth" w:hAnsi="Amaranth" w:cs="Amaranth"/>
          <w:sz w:val="20"/>
          <w:szCs w:val="20"/>
        </w:rPr>
        <w:t>This assignment addresses the following Category 10 course outcomes:</w:t>
      </w:r>
    </w:p>
    <w:p w14:paraId="17FDB8EB" w14:textId="77777777" w:rsidR="00C41817" w:rsidRDefault="007F57E2">
      <w:pPr>
        <w:numPr>
          <w:ilvl w:val="0"/>
          <w:numId w:val="1"/>
        </w:numPr>
        <w:pBdr>
          <w:top w:val="nil"/>
          <w:left w:val="nil"/>
          <w:bottom w:val="nil"/>
          <w:right w:val="nil"/>
          <w:between w:val="nil"/>
        </w:pBdr>
        <w:spacing w:after="180" w:line="240" w:lineRule="auto"/>
        <w:contextualSpacing/>
        <w:rPr>
          <w:rFonts w:ascii="Amaranth" w:eastAsia="Amaranth" w:hAnsi="Amaranth" w:cs="Amaranth"/>
          <w:sz w:val="20"/>
          <w:szCs w:val="20"/>
        </w:rPr>
      </w:pPr>
      <w:r>
        <w:rPr>
          <w:rFonts w:ascii="Amaranth" w:eastAsia="Amaranth" w:hAnsi="Amaranth" w:cs="Amaranth"/>
          <w:color w:val="333333"/>
          <w:sz w:val="20"/>
          <w:szCs w:val="20"/>
          <w:highlight w:val="white"/>
        </w:rPr>
        <w:t xml:space="preserve">• develop abilities in a range of written and oral modes of  academic discourse, with an emphasis on developing the ability to construct coherent, well-documented arguments in the presence of a wide range of perspective and experiences </w:t>
      </w:r>
    </w:p>
    <w:p w14:paraId="7BABC624" w14:textId="77777777" w:rsidR="00C41817" w:rsidRDefault="007F57E2">
      <w:pPr>
        <w:numPr>
          <w:ilvl w:val="0"/>
          <w:numId w:val="1"/>
        </w:numPr>
        <w:pBdr>
          <w:top w:val="nil"/>
          <w:left w:val="nil"/>
          <w:bottom w:val="nil"/>
          <w:right w:val="nil"/>
          <w:between w:val="nil"/>
        </w:pBdr>
        <w:spacing w:after="180" w:line="240" w:lineRule="auto"/>
        <w:contextualSpacing/>
        <w:rPr>
          <w:rFonts w:ascii="Amaranth" w:eastAsia="Amaranth" w:hAnsi="Amaranth" w:cs="Amaranth"/>
          <w:sz w:val="20"/>
          <w:szCs w:val="20"/>
        </w:rPr>
      </w:pPr>
      <w:r>
        <w:rPr>
          <w:rFonts w:ascii="Amaranth" w:eastAsia="Amaranth" w:hAnsi="Amaranth" w:cs="Amaranth"/>
          <w:color w:val="333333"/>
          <w:sz w:val="20"/>
          <w:szCs w:val="20"/>
          <w:highlight w:val="white"/>
        </w:rPr>
        <w:t xml:space="preserve">• refine students' abilities to consider audience and to employ rhetorical strategies which communicate appropriately; introduce students to issues in written communication </w:t>
      </w:r>
    </w:p>
    <w:p w14:paraId="07DD4AD1" w14:textId="77777777" w:rsidR="00C41817" w:rsidRDefault="007F57E2">
      <w:pPr>
        <w:numPr>
          <w:ilvl w:val="0"/>
          <w:numId w:val="1"/>
        </w:numPr>
        <w:pBdr>
          <w:top w:val="nil"/>
          <w:left w:val="nil"/>
          <w:bottom w:val="nil"/>
          <w:right w:val="nil"/>
          <w:between w:val="nil"/>
        </w:pBdr>
        <w:spacing w:after="180" w:line="240" w:lineRule="auto"/>
        <w:contextualSpacing/>
        <w:rPr>
          <w:rFonts w:ascii="Amaranth" w:eastAsia="Amaranth" w:hAnsi="Amaranth" w:cs="Amaranth"/>
          <w:sz w:val="20"/>
          <w:szCs w:val="20"/>
        </w:rPr>
      </w:pPr>
      <w:r>
        <w:rPr>
          <w:rFonts w:ascii="Amaranth" w:eastAsia="Amaranth" w:hAnsi="Amaranth" w:cs="Amaranth"/>
          <w:color w:val="333333"/>
          <w:sz w:val="20"/>
          <w:szCs w:val="20"/>
          <w:highlight w:val="white"/>
        </w:rPr>
        <w:lastRenderedPageBreak/>
        <w:t xml:space="preserve">• include critical reading, viewing, and/or listening to several modes of  communication with attention to developing skills necessary to identify premises and assumptions in complex arguments made from a range of  perspectives </w:t>
      </w:r>
    </w:p>
    <w:p w14:paraId="4F8BF197" w14:textId="77777777" w:rsidR="00C41817" w:rsidRDefault="007F57E2">
      <w:pPr>
        <w:numPr>
          <w:ilvl w:val="0"/>
          <w:numId w:val="1"/>
        </w:numPr>
        <w:pBdr>
          <w:top w:val="nil"/>
          <w:left w:val="nil"/>
          <w:bottom w:val="nil"/>
          <w:right w:val="nil"/>
          <w:between w:val="nil"/>
        </w:pBdr>
        <w:spacing w:after="180" w:line="240" w:lineRule="auto"/>
        <w:contextualSpacing/>
        <w:rPr>
          <w:rFonts w:ascii="Amaranth" w:eastAsia="Amaranth" w:hAnsi="Amaranth" w:cs="Amaranth"/>
          <w:sz w:val="20"/>
          <w:szCs w:val="20"/>
        </w:rPr>
      </w:pPr>
      <w:r>
        <w:rPr>
          <w:rFonts w:ascii="Amaranth" w:eastAsia="Amaranth" w:hAnsi="Amaranth" w:cs="Amaranth"/>
          <w:color w:val="333333"/>
          <w:sz w:val="20"/>
          <w:szCs w:val="20"/>
          <w:highlight w:val="white"/>
        </w:rPr>
        <w:t xml:space="preserve">• require critical use of library and internet resources </w:t>
      </w:r>
    </w:p>
    <w:p w14:paraId="46C01A80" w14:textId="77777777" w:rsidR="00C41817" w:rsidRDefault="007F57E2">
      <w:pPr>
        <w:numPr>
          <w:ilvl w:val="0"/>
          <w:numId w:val="1"/>
        </w:numPr>
        <w:pBdr>
          <w:top w:val="nil"/>
          <w:left w:val="nil"/>
          <w:bottom w:val="nil"/>
          <w:right w:val="nil"/>
          <w:between w:val="nil"/>
        </w:pBdr>
        <w:spacing w:after="180" w:line="240" w:lineRule="auto"/>
        <w:contextualSpacing/>
        <w:rPr>
          <w:rFonts w:ascii="Amaranth" w:eastAsia="Amaranth" w:hAnsi="Amaranth" w:cs="Amaranth"/>
          <w:sz w:val="20"/>
          <w:szCs w:val="20"/>
        </w:rPr>
      </w:pPr>
      <w:r>
        <w:rPr>
          <w:rFonts w:ascii="Amaranth" w:eastAsia="Amaranth" w:hAnsi="Amaranth" w:cs="Amaranth"/>
          <w:color w:val="333333"/>
          <w:sz w:val="20"/>
          <w:szCs w:val="20"/>
          <w:highlight w:val="white"/>
        </w:rPr>
        <w:t xml:space="preserve">• refine students' abilities to incorporate cited materials responsibly and effectively (including introducing students to various documentation formats--APA, MLA, etc.) </w:t>
      </w:r>
    </w:p>
    <w:p w14:paraId="52C588E0" w14:textId="77777777" w:rsidR="00C41817" w:rsidRDefault="007F57E2">
      <w:pPr>
        <w:numPr>
          <w:ilvl w:val="0"/>
          <w:numId w:val="1"/>
        </w:numPr>
        <w:pBdr>
          <w:top w:val="nil"/>
          <w:left w:val="nil"/>
          <w:bottom w:val="nil"/>
          <w:right w:val="nil"/>
          <w:between w:val="nil"/>
        </w:pBdr>
        <w:spacing w:after="180" w:line="240" w:lineRule="auto"/>
        <w:contextualSpacing/>
        <w:rPr>
          <w:rFonts w:ascii="Amaranth" w:eastAsia="Amaranth" w:hAnsi="Amaranth" w:cs="Amaranth"/>
          <w:sz w:val="20"/>
          <w:szCs w:val="20"/>
        </w:rPr>
      </w:pPr>
      <w:r>
        <w:rPr>
          <w:rFonts w:ascii="Amaranth" w:eastAsia="Amaranth" w:hAnsi="Amaranth" w:cs="Amaranth"/>
          <w:color w:val="333333"/>
          <w:sz w:val="20"/>
          <w:szCs w:val="20"/>
          <w:highlight w:val="white"/>
        </w:rPr>
        <w:t xml:space="preserve">• require attention to both process and product in instruction and evaluation </w:t>
      </w:r>
    </w:p>
    <w:p w14:paraId="7F20D42F" w14:textId="77777777" w:rsidR="00C41817" w:rsidRDefault="007F57E2">
      <w:pPr>
        <w:numPr>
          <w:ilvl w:val="0"/>
          <w:numId w:val="1"/>
        </w:numPr>
        <w:pBdr>
          <w:top w:val="nil"/>
          <w:left w:val="nil"/>
          <w:bottom w:val="nil"/>
          <w:right w:val="nil"/>
          <w:between w:val="nil"/>
        </w:pBdr>
        <w:spacing w:after="180" w:line="240" w:lineRule="auto"/>
        <w:contextualSpacing/>
        <w:rPr>
          <w:rFonts w:ascii="Amaranth" w:eastAsia="Amaranth" w:hAnsi="Amaranth" w:cs="Amaranth"/>
          <w:sz w:val="20"/>
          <w:szCs w:val="20"/>
        </w:rPr>
      </w:pPr>
      <w:r>
        <w:rPr>
          <w:rFonts w:ascii="Amaranth" w:eastAsia="Amaranth" w:hAnsi="Amaranth" w:cs="Amaranth"/>
          <w:color w:val="333333"/>
          <w:sz w:val="20"/>
          <w:szCs w:val="20"/>
          <w:highlight w:val="white"/>
        </w:rPr>
        <w:t xml:space="preserve">• extend and refine students' editing skills </w:t>
      </w:r>
    </w:p>
    <w:p w14:paraId="297914F9" w14:textId="77777777" w:rsidR="00C41817" w:rsidRDefault="007F57E2">
      <w:pPr>
        <w:numPr>
          <w:ilvl w:val="0"/>
          <w:numId w:val="1"/>
        </w:numPr>
        <w:pBdr>
          <w:top w:val="nil"/>
          <w:left w:val="nil"/>
          <w:bottom w:val="nil"/>
          <w:right w:val="nil"/>
          <w:between w:val="nil"/>
        </w:pBdr>
        <w:spacing w:after="180" w:line="240" w:lineRule="auto"/>
        <w:contextualSpacing/>
        <w:rPr>
          <w:rFonts w:ascii="Amaranth" w:eastAsia="Amaranth" w:hAnsi="Amaranth" w:cs="Amaranth"/>
          <w:sz w:val="20"/>
          <w:szCs w:val="20"/>
        </w:rPr>
      </w:pPr>
      <w:r>
        <w:rPr>
          <w:rFonts w:ascii="Amaranth" w:eastAsia="Amaranth" w:hAnsi="Amaranth" w:cs="Amaranth"/>
          <w:color w:val="333333"/>
          <w:sz w:val="20"/>
          <w:szCs w:val="20"/>
          <w:highlight w:val="white"/>
        </w:rPr>
        <w:t xml:space="preserve">• require the use of computer-based technologies in the creation of  written text </w:t>
      </w:r>
    </w:p>
    <w:p w14:paraId="25265EB7" w14:textId="77777777" w:rsidR="00C41817" w:rsidRDefault="007F57E2">
      <w:pPr>
        <w:numPr>
          <w:ilvl w:val="0"/>
          <w:numId w:val="1"/>
        </w:numPr>
        <w:pBdr>
          <w:top w:val="nil"/>
          <w:left w:val="nil"/>
          <w:bottom w:val="nil"/>
          <w:right w:val="nil"/>
          <w:between w:val="nil"/>
        </w:pBdr>
        <w:spacing w:after="180" w:line="240" w:lineRule="auto"/>
        <w:contextualSpacing/>
        <w:rPr>
          <w:rFonts w:ascii="Amaranth" w:eastAsia="Amaranth" w:hAnsi="Amaranth" w:cs="Amaranth"/>
          <w:sz w:val="20"/>
          <w:szCs w:val="20"/>
        </w:rPr>
      </w:pPr>
      <w:r>
        <w:rPr>
          <w:rFonts w:ascii="Amaranth" w:eastAsia="Amaranth" w:hAnsi="Amaranth" w:cs="Amaranth"/>
          <w:color w:val="333333"/>
          <w:sz w:val="20"/>
          <w:szCs w:val="20"/>
          <w:highlight w:val="white"/>
        </w:rPr>
        <w:t xml:space="preserve">• include interactive and/or collaborative reading and writing activities and discussion of  same </w:t>
      </w:r>
    </w:p>
    <w:p w14:paraId="4C0C462E" w14:textId="77777777" w:rsidR="00C41817" w:rsidRDefault="007F57E2">
      <w:pPr>
        <w:numPr>
          <w:ilvl w:val="0"/>
          <w:numId w:val="1"/>
        </w:numPr>
        <w:pBdr>
          <w:top w:val="nil"/>
          <w:left w:val="nil"/>
          <w:bottom w:val="nil"/>
          <w:right w:val="nil"/>
          <w:between w:val="nil"/>
        </w:pBdr>
        <w:spacing w:after="180" w:line="240" w:lineRule="auto"/>
        <w:contextualSpacing/>
        <w:rPr>
          <w:rFonts w:ascii="Amaranth" w:eastAsia="Amaranth" w:hAnsi="Amaranth" w:cs="Amaranth"/>
          <w:sz w:val="20"/>
          <w:szCs w:val="20"/>
        </w:rPr>
      </w:pPr>
      <w:r>
        <w:rPr>
          <w:rFonts w:ascii="Amaranth" w:eastAsia="Amaranth" w:hAnsi="Amaranth" w:cs="Amaranth"/>
          <w:color w:val="333333"/>
          <w:sz w:val="20"/>
          <w:szCs w:val="20"/>
          <w:highlight w:val="white"/>
        </w:rPr>
        <w:t xml:space="preserve">• require that each student complete a minimum of  20 double-spaced pages of  formal writing and the equivalent of  20 double-spaced pages of  drafts and informal writing (such as posts to email dialogue groups, responses, journals, etc.) divided into multiple assignments which include appropriate feedback </w:t>
      </w:r>
    </w:p>
    <w:p w14:paraId="0DED394B" w14:textId="77777777" w:rsidR="00C41817" w:rsidRDefault="007F57E2">
      <w:pPr>
        <w:numPr>
          <w:ilvl w:val="0"/>
          <w:numId w:val="1"/>
        </w:numPr>
        <w:pBdr>
          <w:top w:val="nil"/>
          <w:left w:val="nil"/>
          <w:bottom w:val="nil"/>
          <w:right w:val="nil"/>
          <w:between w:val="nil"/>
        </w:pBdr>
        <w:spacing w:after="180" w:line="240" w:lineRule="auto"/>
        <w:contextualSpacing/>
        <w:rPr>
          <w:rFonts w:ascii="Amaranth" w:eastAsia="Amaranth" w:hAnsi="Amaranth" w:cs="Amaranth"/>
          <w:sz w:val="20"/>
          <w:szCs w:val="20"/>
        </w:rPr>
      </w:pPr>
      <w:r>
        <w:rPr>
          <w:rFonts w:ascii="Amaranth" w:eastAsia="Amaranth" w:hAnsi="Amaranth" w:cs="Amaranth"/>
          <w:color w:val="333333"/>
          <w:sz w:val="20"/>
          <w:szCs w:val="20"/>
          <w:highlight w:val="white"/>
        </w:rPr>
        <w:t>• require that each student engage in significant speaking activities (in a variety of  forms) which include appropriate feedback</w:t>
      </w:r>
    </w:p>
    <w:sectPr w:rsidR="00C41817">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CB203" w14:textId="77777777" w:rsidR="0011130F" w:rsidRDefault="0011130F">
      <w:pPr>
        <w:spacing w:after="0" w:line="240" w:lineRule="auto"/>
      </w:pPr>
      <w:r>
        <w:separator/>
      </w:r>
    </w:p>
  </w:endnote>
  <w:endnote w:type="continuationSeparator" w:id="0">
    <w:p w14:paraId="6C1205C8" w14:textId="77777777" w:rsidR="0011130F" w:rsidRDefault="0011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maranth">
    <w:altName w:val="Times New Roman"/>
    <w:charset w:val="00"/>
    <w:family w:val="auto"/>
    <w:pitch w:val="default"/>
  </w:font>
  <w:font w:name="Raleway">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A823B" w14:textId="77777777" w:rsidR="0011130F" w:rsidRDefault="0011130F">
      <w:pPr>
        <w:spacing w:after="0" w:line="240" w:lineRule="auto"/>
      </w:pPr>
      <w:r>
        <w:separator/>
      </w:r>
    </w:p>
  </w:footnote>
  <w:footnote w:type="continuationSeparator" w:id="0">
    <w:p w14:paraId="1CE467C0" w14:textId="77777777" w:rsidR="0011130F" w:rsidRDefault="00111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D6520" w14:textId="77777777" w:rsidR="00C41817" w:rsidRDefault="00C41817">
    <w:pPr>
      <w:widowControl w:val="0"/>
      <w:pBdr>
        <w:top w:val="nil"/>
        <w:left w:val="nil"/>
        <w:bottom w:val="nil"/>
        <w:right w:val="nil"/>
        <w:between w:val="nil"/>
      </w:pBdr>
      <w:rPr>
        <w:rFonts w:ascii="Amaranth" w:eastAsia="Amaranth" w:hAnsi="Amaranth" w:cs="Amaranth"/>
      </w:rPr>
    </w:pPr>
  </w:p>
  <w:tbl>
    <w:tblPr>
      <w:tblStyle w:val="a0"/>
      <w:tblW w:w="9590" w:type="dxa"/>
      <w:tblInd w:w="115" w:type="dxa"/>
      <w:tblBorders>
        <w:bottom w:val="single" w:sz="18" w:space="0" w:color="808080"/>
        <w:insideV w:val="single" w:sz="18" w:space="0" w:color="808080"/>
      </w:tblBorders>
      <w:tblLayout w:type="fixed"/>
      <w:tblLook w:val="0400" w:firstRow="0" w:lastRow="0" w:firstColumn="0" w:lastColumn="0" w:noHBand="0" w:noVBand="1"/>
    </w:tblPr>
    <w:tblGrid>
      <w:gridCol w:w="7405"/>
      <w:gridCol w:w="2185"/>
    </w:tblGrid>
    <w:tr w:rsidR="00C41817" w14:paraId="6601F3EE" w14:textId="77777777">
      <w:trPr>
        <w:trHeight w:val="280"/>
      </w:trPr>
      <w:tc>
        <w:tcPr>
          <w:tcW w:w="7405" w:type="dxa"/>
        </w:tcPr>
        <w:p w14:paraId="337D758F" w14:textId="77777777" w:rsidR="00C41817" w:rsidRDefault="007F57E2">
          <w:pPr>
            <w:pBdr>
              <w:top w:val="nil"/>
              <w:left w:val="nil"/>
              <w:bottom w:val="nil"/>
              <w:right w:val="nil"/>
              <w:between w:val="nil"/>
            </w:pBdr>
            <w:tabs>
              <w:tab w:val="center" w:pos="4680"/>
              <w:tab w:val="right" w:pos="9360"/>
            </w:tabs>
            <w:spacing w:after="0" w:line="240" w:lineRule="auto"/>
            <w:jc w:val="center"/>
            <w:rPr>
              <w:rFonts w:ascii="Amaranth" w:eastAsia="Amaranth" w:hAnsi="Amaranth" w:cs="Amaranth"/>
              <w:sz w:val="36"/>
              <w:szCs w:val="36"/>
            </w:rPr>
          </w:pPr>
          <w:r>
            <w:rPr>
              <w:rFonts w:ascii="Amaranth" w:eastAsia="Amaranth" w:hAnsi="Amaranth" w:cs="Amaranth"/>
              <w:sz w:val="36"/>
              <w:szCs w:val="36"/>
            </w:rPr>
            <w:t>Synthesis of Ideas Essay</w:t>
          </w:r>
        </w:p>
      </w:tc>
      <w:tc>
        <w:tcPr>
          <w:tcW w:w="2185" w:type="dxa"/>
        </w:tcPr>
        <w:p w14:paraId="6F13CF3B" w14:textId="77777777" w:rsidR="00C41817" w:rsidRDefault="007F57E2">
          <w:pPr>
            <w:pBdr>
              <w:top w:val="nil"/>
              <w:left w:val="nil"/>
              <w:bottom w:val="nil"/>
              <w:right w:val="nil"/>
              <w:between w:val="nil"/>
            </w:pBdr>
            <w:tabs>
              <w:tab w:val="center" w:pos="4680"/>
              <w:tab w:val="right" w:pos="9360"/>
            </w:tabs>
            <w:spacing w:after="0" w:line="240" w:lineRule="auto"/>
            <w:rPr>
              <w:rFonts w:ascii="Amaranth" w:eastAsia="Amaranth" w:hAnsi="Amaranth" w:cs="Amaranth"/>
              <w:b/>
              <w:color w:val="4F81BD"/>
              <w:sz w:val="36"/>
              <w:szCs w:val="36"/>
            </w:rPr>
          </w:pPr>
          <w:r>
            <w:rPr>
              <w:rFonts w:ascii="Amaranth" w:eastAsia="Amaranth" w:hAnsi="Amaranth" w:cs="Amaranth"/>
              <w:b/>
              <w:color w:val="4F81BD"/>
              <w:sz w:val="36"/>
              <w:szCs w:val="36"/>
            </w:rPr>
            <w:t>ENGL 212</w:t>
          </w:r>
        </w:p>
      </w:tc>
    </w:tr>
  </w:tbl>
  <w:p w14:paraId="73F7E812" w14:textId="77777777" w:rsidR="00C41817" w:rsidRDefault="00C41817">
    <w:pPr>
      <w:pBdr>
        <w:top w:val="nil"/>
        <w:left w:val="nil"/>
        <w:bottom w:val="nil"/>
        <w:right w:val="nil"/>
        <w:between w:val="nil"/>
      </w:pBdr>
      <w:tabs>
        <w:tab w:val="center" w:pos="4680"/>
        <w:tab w:val="right" w:pos="9360"/>
      </w:tabs>
      <w:spacing w:after="0" w:line="240" w:lineRule="auto"/>
      <w:rPr>
        <w:rFonts w:ascii="Raleway" w:eastAsia="Raleway" w:hAnsi="Raleway" w:cs="Ralewa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4F74E9"/>
    <w:multiLevelType w:val="multilevel"/>
    <w:tmpl w:val="A55C5120"/>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4C594667"/>
    <w:multiLevelType w:val="multilevel"/>
    <w:tmpl w:val="5A780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17"/>
    <w:rsid w:val="0011130F"/>
    <w:rsid w:val="00331451"/>
    <w:rsid w:val="004E45DC"/>
    <w:rsid w:val="007F57E2"/>
    <w:rsid w:val="00C4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25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augky</dc:creator>
  <cp:lastModifiedBy>augky</cp:lastModifiedBy>
  <cp:revision>2</cp:revision>
  <dcterms:created xsi:type="dcterms:W3CDTF">2018-08-04T04:19:00Z</dcterms:created>
  <dcterms:modified xsi:type="dcterms:W3CDTF">2018-08-04T04:19:00Z</dcterms:modified>
</cp:coreProperties>
</file>