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2E373A" w14:textId="77777777" w:rsidR="00973A22" w:rsidRPr="00973A22" w:rsidRDefault="00973A22" w:rsidP="00973A22">
      <w:pPr>
        <w:shd w:val="clear" w:color="auto" w:fill="F0F2F3"/>
        <w:spacing w:before="100" w:beforeAutospacing="1" w:after="100" w:afterAutospacing="1" w:line="240" w:lineRule="auto"/>
        <w:outlineLvl w:val="0"/>
        <w:rPr>
          <w:rFonts w:ascii="Arial" w:eastAsia="Times New Roman" w:hAnsi="Arial" w:cs="Arial"/>
          <w:b/>
          <w:bCs/>
          <w:color w:val="001738"/>
          <w:kern w:val="36"/>
          <w:sz w:val="38"/>
          <w:szCs w:val="38"/>
        </w:rPr>
      </w:pPr>
      <w:bookmarkStart w:id="0" w:name="_GoBack"/>
      <w:bookmarkEnd w:id="0"/>
      <w:r w:rsidRPr="00973A22">
        <w:rPr>
          <w:rFonts w:ascii="Arial" w:eastAsia="Times New Roman" w:hAnsi="Arial" w:cs="Arial"/>
          <w:b/>
          <w:bCs/>
          <w:color w:val="001738"/>
          <w:kern w:val="36"/>
          <w:sz w:val="38"/>
          <w:szCs w:val="38"/>
        </w:rPr>
        <w:t>Module 2 - Background</w:t>
      </w:r>
    </w:p>
    <w:p w14:paraId="4F099365" w14:textId="77777777" w:rsidR="00973A22" w:rsidRPr="00973A22" w:rsidRDefault="00973A22" w:rsidP="00D122FD">
      <w:pPr>
        <w:pBdr>
          <w:top w:val="single" w:sz="6" w:space="12" w:color="669966"/>
          <w:left w:val="single" w:sz="6" w:space="24" w:color="669966"/>
          <w:bottom w:val="single" w:sz="6" w:space="12" w:color="669966"/>
          <w:right w:val="single" w:sz="6" w:space="12" w:color="669966"/>
        </w:pBdr>
        <w:shd w:val="clear" w:color="auto" w:fill="000000" w:themeFill="text1"/>
        <w:spacing w:before="100" w:beforeAutospacing="1" w:after="0" w:line="240" w:lineRule="auto"/>
        <w:outlineLvl w:val="1"/>
        <w:rPr>
          <w:rFonts w:ascii="Arial" w:eastAsia="Times New Roman" w:hAnsi="Arial" w:cs="Arial"/>
          <w:b/>
          <w:bCs/>
          <w:caps/>
          <w:color w:val="FFFFFF"/>
          <w:sz w:val="34"/>
          <w:szCs w:val="34"/>
        </w:rPr>
      </w:pPr>
      <w:r w:rsidRPr="00973A22">
        <w:rPr>
          <w:rFonts w:ascii="Arial" w:eastAsia="Times New Roman" w:hAnsi="Arial" w:cs="Arial"/>
          <w:b/>
          <w:bCs/>
          <w:caps/>
          <w:color w:val="FFFFFF"/>
          <w:sz w:val="34"/>
          <w:szCs w:val="34"/>
        </w:rPr>
        <w:t>COST-VOLUME-PROFIT ANALYSIS</w:t>
      </w:r>
    </w:p>
    <w:p w14:paraId="3D68761D" w14:textId="77777777" w:rsidR="00973A22" w:rsidRPr="00973A22" w:rsidRDefault="00973A22" w:rsidP="00973A22">
      <w:pPr>
        <w:shd w:val="clear" w:color="auto" w:fill="C4D5DD"/>
        <w:spacing w:after="0" w:line="312" w:lineRule="atLeast"/>
        <w:outlineLvl w:val="2"/>
        <w:rPr>
          <w:rFonts w:ascii="Arial" w:eastAsia="Times New Roman" w:hAnsi="Arial" w:cs="Arial"/>
          <w:b/>
          <w:bCs/>
          <w:color w:val="005697"/>
          <w:sz w:val="29"/>
          <w:szCs w:val="29"/>
        </w:rPr>
      </w:pPr>
      <w:r w:rsidRPr="00973A22">
        <w:rPr>
          <w:rFonts w:ascii="Arial" w:eastAsia="Times New Roman" w:hAnsi="Arial" w:cs="Arial"/>
          <w:b/>
          <w:bCs/>
          <w:color w:val="005697"/>
          <w:sz w:val="29"/>
          <w:szCs w:val="29"/>
        </w:rPr>
        <w:t>Modular Learning Objectives</w:t>
      </w:r>
    </w:p>
    <w:p w14:paraId="6B880A01" w14:textId="77777777" w:rsidR="00973A22" w:rsidRPr="00973A22" w:rsidRDefault="00973A22" w:rsidP="00973A22">
      <w:pPr>
        <w:shd w:val="clear" w:color="auto" w:fill="FFFFFF"/>
        <w:spacing w:before="100" w:beforeAutospacing="1" w:after="100" w:afterAutospacing="1" w:line="312" w:lineRule="atLeast"/>
        <w:ind w:left="1050" w:right="1050"/>
        <w:rPr>
          <w:rFonts w:ascii="Arial" w:eastAsia="Times New Roman" w:hAnsi="Arial" w:cs="Arial"/>
          <w:color w:val="00457C"/>
          <w:sz w:val="27"/>
          <w:szCs w:val="27"/>
        </w:rPr>
      </w:pPr>
      <w:r w:rsidRPr="00973A22">
        <w:rPr>
          <w:rFonts w:ascii="Arial" w:eastAsia="Times New Roman" w:hAnsi="Arial" w:cs="Arial"/>
          <w:color w:val="00457C"/>
          <w:sz w:val="27"/>
          <w:szCs w:val="27"/>
        </w:rPr>
        <w:t>Keep the following objectives in mind as you work through the material in this module:</w:t>
      </w:r>
    </w:p>
    <w:p w14:paraId="5CF4AF8A" w14:textId="77777777" w:rsidR="00973A22" w:rsidRPr="00973A22" w:rsidRDefault="00973A22" w:rsidP="00973A2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973A22">
        <w:rPr>
          <w:rFonts w:ascii="Arial" w:eastAsia="Times New Roman" w:hAnsi="Arial" w:cs="Arial"/>
          <w:color w:val="00457C"/>
          <w:sz w:val="23"/>
          <w:szCs w:val="23"/>
        </w:rPr>
        <w:t>Define of cost-volume-profit.</w:t>
      </w:r>
    </w:p>
    <w:p w14:paraId="31FF1F9E" w14:textId="77777777" w:rsidR="00973A22" w:rsidRPr="00973A22" w:rsidRDefault="00973A22" w:rsidP="00973A2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973A22">
        <w:rPr>
          <w:rFonts w:ascii="Arial" w:eastAsia="Times New Roman" w:hAnsi="Arial" w:cs="Arial"/>
          <w:color w:val="00457C"/>
          <w:sz w:val="23"/>
          <w:szCs w:val="23"/>
        </w:rPr>
        <w:t>Understand the relationship between variable costing and cost-volume-profit analysis.</w:t>
      </w:r>
    </w:p>
    <w:p w14:paraId="236CCC1D" w14:textId="77777777" w:rsidR="00973A22" w:rsidRPr="00973A22" w:rsidRDefault="00973A22" w:rsidP="00973A2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973A22">
        <w:rPr>
          <w:rFonts w:ascii="Arial" w:eastAsia="Times New Roman" w:hAnsi="Arial" w:cs="Arial"/>
          <w:color w:val="00457C"/>
          <w:sz w:val="23"/>
          <w:szCs w:val="23"/>
        </w:rPr>
        <w:t>Apply and analyze break-even.</w:t>
      </w:r>
    </w:p>
    <w:p w14:paraId="1FDF349A" w14:textId="77777777" w:rsidR="00973A22" w:rsidRPr="00973A22" w:rsidRDefault="00973A22" w:rsidP="00973A2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973A22">
        <w:rPr>
          <w:rFonts w:ascii="Arial" w:eastAsia="Times New Roman" w:hAnsi="Arial" w:cs="Arial"/>
          <w:color w:val="00457C"/>
          <w:sz w:val="23"/>
          <w:szCs w:val="23"/>
        </w:rPr>
        <w:t>Compute break-even in units.</w:t>
      </w:r>
    </w:p>
    <w:p w14:paraId="50F1B709" w14:textId="77777777" w:rsidR="00973A22" w:rsidRPr="00973A22" w:rsidRDefault="00973A22" w:rsidP="00973A2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973A22">
        <w:rPr>
          <w:rFonts w:ascii="Arial" w:eastAsia="Times New Roman" w:hAnsi="Arial" w:cs="Arial"/>
          <w:color w:val="00457C"/>
          <w:sz w:val="23"/>
          <w:szCs w:val="23"/>
        </w:rPr>
        <w:t>Compute break-even in sales.</w:t>
      </w:r>
    </w:p>
    <w:p w14:paraId="6407ABDC" w14:textId="77777777" w:rsidR="00973A22" w:rsidRPr="00973A22" w:rsidRDefault="00973A22" w:rsidP="00973A22">
      <w:pPr>
        <w:numPr>
          <w:ilvl w:val="0"/>
          <w:numId w:val="1"/>
        </w:numPr>
        <w:shd w:val="clear" w:color="auto" w:fill="FFFFFF"/>
        <w:spacing w:after="0" w:line="312" w:lineRule="atLeast"/>
        <w:ind w:left="1050" w:right="1080"/>
        <w:rPr>
          <w:rFonts w:ascii="Arial" w:eastAsia="Times New Roman" w:hAnsi="Arial" w:cs="Arial"/>
          <w:color w:val="00457C"/>
          <w:sz w:val="23"/>
          <w:szCs w:val="23"/>
        </w:rPr>
      </w:pPr>
      <w:r w:rsidRPr="00973A22">
        <w:rPr>
          <w:rFonts w:ascii="Arial" w:eastAsia="Times New Roman" w:hAnsi="Arial" w:cs="Arial"/>
          <w:color w:val="00457C"/>
          <w:sz w:val="23"/>
          <w:szCs w:val="23"/>
        </w:rPr>
        <w:t>Analyze target profit.</w:t>
      </w:r>
    </w:p>
    <w:p w14:paraId="1558FDBA" w14:textId="77777777" w:rsidR="00973A22" w:rsidRPr="00973A22" w:rsidRDefault="00973A22" w:rsidP="00973A22">
      <w:pPr>
        <w:shd w:val="clear" w:color="auto" w:fill="C4D5DD"/>
        <w:spacing w:after="0" w:line="240" w:lineRule="auto"/>
        <w:outlineLvl w:val="2"/>
        <w:rPr>
          <w:rFonts w:ascii="Arial" w:eastAsia="Times New Roman" w:hAnsi="Arial" w:cs="Arial"/>
          <w:b/>
          <w:bCs/>
          <w:color w:val="005697"/>
          <w:sz w:val="29"/>
          <w:szCs w:val="29"/>
        </w:rPr>
      </w:pPr>
      <w:r w:rsidRPr="00973A22">
        <w:rPr>
          <w:rFonts w:ascii="Arial" w:eastAsia="Times New Roman" w:hAnsi="Arial" w:cs="Arial"/>
          <w:b/>
          <w:bCs/>
          <w:color w:val="005697"/>
          <w:sz w:val="29"/>
          <w:szCs w:val="29"/>
        </w:rPr>
        <w:t>Required Reading</w:t>
      </w:r>
    </w:p>
    <w:p w14:paraId="120A8424" w14:textId="77777777" w:rsidR="00973A22" w:rsidRPr="00973A22" w:rsidRDefault="00973A22"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973A22">
        <w:rPr>
          <w:rFonts w:ascii="Arial" w:eastAsia="Times New Roman" w:hAnsi="Arial" w:cs="Arial"/>
          <w:color w:val="363636"/>
          <w:sz w:val="27"/>
          <w:szCs w:val="27"/>
        </w:rPr>
        <w:t>Variable and fixed costs were introduced in the prior module. Now it is time to examine cost behavior in more detail by familiarizing yourself with the following while keeping the above six objectives in mind. Click on the three arrows to explore each topic in more detail.</w:t>
      </w:r>
    </w:p>
    <w:p w14:paraId="387C1C11" w14:textId="66BB192F" w:rsidR="00973A22" w:rsidRDefault="00973A22"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973A22">
        <w:rPr>
          <w:rFonts w:ascii="Arial" w:eastAsia="Times New Roman" w:hAnsi="Arial" w:cs="Arial"/>
          <w:i/>
          <w:iCs/>
          <w:noProof/>
          <w:color w:val="CC3300"/>
          <w:sz w:val="24"/>
          <w:szCs w:val="24"/>
        </w:rPr>
        <w:drawing>
          <wp:inline distT="0" distB="0" distL="0" distR="0" wp14:anchorId="6E18A245" wp14:editId="7587D9B5">
            <wp:extent cx="4810125" cy="685800"/>
            <wp:effectExtent l="0" t="0" r="9525" b="0"/>
            <wp:docPr id="5" name="Picture 5" descr="Cost-Volume-Profit Analysis">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t-Volume-Profit Analysis">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5E76CDF3"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color w:val="363636"/>
          <w:sz w:val="27"/>
          <w:szCs w:val="27"/>
        </w:rPr>
        <w:t>Cost-volume-profit (CVP) analysis</w:t>
      </w:r>
    </w:p>
    <w:p w14:paraId="0EC7C80F"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Companies use cost-volume-profit (CVP) analysis (also called break-even analysis) to determine what affects changes in their selling prices, costs, and/or volume will have on profits in the short run. A careful and accurate cost-volume-profit (CVP) analysis requires knowledge of costs and their fixed or variable behavior as volume changes.</w:t>
      </w:r>
    </w:p>
    <w:p w14:paraId="2152A6B1"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A cost-volume-profit chart is a graph that shows the relationships among sales, costs, volume, and profit. Look at illustration below. The illustration shows a cost-volume-profit chart for Video Productions, a company that produces DVDs. Each DVD sells for $20. The variable cost per DVD is $12, and the fixed costs per month are $ 40,000.</w:t>
      </w:r>
    </w:p>
    <w:p w14:paraId="7AD19376"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color w:val="363636"/>
          <w:sz w:val="27"/>
          <w:szCs w:val="27"/>
        </w:rPr>
        <w:t>Cost-Volume-Profit Chart</w:t>
      </w:r>
    </w:p>
    <w:p w14:paraId="55131ACA" w14:textId="3E7987C8"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noProof/>
          <w:color w:val="363636"/>
          <w:sz w:val="27"/>
          <w:szCs w:val="27"/>
        </w:rPr>
        <w:lastRenderedPageBreak/>
        <w:drawing>
          <wp:inline distT="0" distB="0" distL="0" distR="0" wp14:anchorId="2385C8D8" wp14:editId="0D2ACFFB">
            <wp:extent cx="5410200" cy="3400425"/>
            <wp:effectExtent l="0" t="0" r="0" b="9525"/>
            <wp:docPr id="6" name="Picture 6" descr="Cost-Volume-Profi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st-Volume-Profit Ch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0" cy="3400425"/>
                    </a:xfrm>
                    <a:prstGeom prst="rect">
                      <a:avLst/>
                    </a:prstGeom>
                    <a:noFill/>
                    <a:ln>
                      <a:noFill/>
                    </a:ln>
                  </pic:spPr>
                </pic:pic>
              </a:graphicData>
            </a:graphic>
          </wp:inline>
        </w:drawing>
      </w:r>
    </w:p>
    <w:p w14:paraId="58F79A36"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The total cost line represents the fixed costs of $40,000 plus $12 per unit. Thus, if Video Productions produces and sells 6,000 DVDs, the company’s total costs are $112,000, made up of $40,000 fixed costs and $ 72,000 total variable costs ($ 72,000 = $ 12 per unit X 6,000 units produced and sold).</w:t>
      </w:r>
    </w:p>
    <w:p w14:paraId="2DE3F9DC"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The total revenue line shows how revenues increase as volume increases. Total revenue is $ 120,000 for sales of 6,000 tapes ($20 per unit X 6,000 units sold). In the chart, we demonstrate the effect of volume on revenue, costs, and net income, for a particular price, variable cost per unit, and fixed cost per period.</w:t>
      </w:r>
    </w:p>
    <w:p w14:paraId="1DF54A82"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At each volume, one can estimate the company’s profit or loss. For example, at a volume of 6,000 units, the profit is $8,000. We can find the net income either by constructing an income statement or using the profit equation. The contribution margin income statement gives the following results for a volume of 6,000 units:</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2241"/>
        <w:gridCol w:w="1162"/>
      </w:tblGrid>
      <w:tr w:rsidR="00FF08A2" w:rsidRPr="00FF08A2" w14:paraId="14E4C184" w14:textId="77777777" w:rsidTr="00FF08A2">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638320B" w14:textId="77777777" w:rsidR="00FF08A2" w:rsidRPr="00FF08A2" w:rsidRDefault="00FF08A2" w:rsidP="00FF08A2">
            <w:pPr>
              <w:spacing w:after="480" w:line="240" w:lineRule="auto"/>
              <w:jc w:val="center"/>
              <w:rPr>
                <w:rFonts w:ascii="Arial" w:eastAsia="Times New Roman" w:hAnsi="Arial" w:cs="Arial"/>
                <w:color w:val="363636"/>
                <w:sz w:val="19"/>
                <w:szCs w:val="19"/>
              </w:rPr>
            </w:pPr>
            <w:r w:rsidRPr="00FF08A2">
              <w:rPr>
                <w:rFonts w:ascii="Arial" w:eastAsia="Times New Roman" w:hAnsi="Arial" w:cs="Arial"/>
                <w:color w:val="363636"/>
                <w:sz w:val="19"/>
                <w:szCs w:val="19"/>
              </w:rPr>
              <w:t>Video Productions</w:t>
            </w:r>
          </w:p>
        </w:tc>
      </w:tr>
      <w:tr w:rsidR="00FF08A2" w:rsidRPr="00FF08A2" w14:paraId="1255995A" w14:textId="77777777" w:rsidTr="00FF08A2">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6E09F8D" w14:textId="77777777" w:rsidR="00FF08A2" w:rsidRPr="00FF08A2" w:rsidRDefault="00FF08A2" w:rsidP="00FF08A2">
            <w:pPr>
              <w:spacing w:after="480" w:line="240" w:lineRule="auto"/>
              <w:rPr>
                <w:rFonts w:ascii="Arial" w:eastAsia="Times New Roman" w:hAnsi="Arial" w:cs="Arial"/>
                <w:color w:val="363636"/>
                <w:sz w:val="19"/>
                <w:szCs w:val="19"/>
              </w:rPr>
            </w:pPr>
            <w:r w:rsidRPr="00FF08A2">
              <w:rPr>
                <w:rFonts w:ascii="Arial" w:eastAsia="Times New Roman" w:hAnsi="Arial" w:cs="Arial"/>
                <w:color w:val="363636"/>
                <w:sz w:val="19"/>
                <w:szCs w:val="19"/>
              </w:rPr>
              <w:t>Contribution Margin Income Statement</w:t>
            </w:r>
          </w:p>
        </w:tc>
      </w:tr>
      <w:tr w:rsidR="00FF08A2" w:rsidRPr="00FF08A2" w14:paraId="4574EEA2" w14:textId="77777777" w:rsidTr="00FF08A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8E8BCDA" w14:textId="77777777" w:rsidR="00FF08A2" w:rsidRPr="00FF08A2" w:rsidRDefault="00FF08A2" w:rsidP="00FF08A2">
            <w:pPr>
              <w:spacing w:after="480" w:line="240" w:lineRule="auto"/>
              <w:rPr>
                <w:rFonts w:ascii="Arial" w:eastAsia="Times New Roman" w:hAnsi="Arial" w:cs="Arial"/>
                <w:color w:val="363636"/>
                <w:sz w:val="19"/>
                <w:szCs w:val="19"/>
              </w:rPr>
            </w:pPr>
            <w:r w:rsidRPr="00FF08A2">
              <w:rPr>
                <w:rFonts w:ascii="Arial" w:eastAsia="Times New Roman" w:hAnsi="Arial" w:cs="Arial"/>
                <w:color w:val="363636"/>
                <w:sz w:val="19"/>
                <w:szCs w:val="19"/>
              </w:rPr>
              <w:t>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3A1E904" w14:textId="77777777" w:rsidR="00FF08A2" w:rsidRPr="00FF08A2" w:rsidRDefault="00FF08A2" w:rsidP="00FF08A2">
            <w:pPr>
              <w:spacing w:after="480" w:line="240" w:lineRule="auto"/>
              <w:jc w:val="right"/>
              <w:rPr>
                <w:rFonts w:ascii="Arial" w:eastAsia="Times New Roman" w:hAnsi="Arial" w:cs="Arial"/>
                <w:color w:val="363636"/>
                <w:sz w:val="19"/>
                <w:szCs w:val="19"/>
              </w:rPr>
            </w:pPr>
            <w:r w:rsidRPr="00FF08A2">
              <w:rPr>
                <w:rFonts w:ascii="Arial" w:eastAsia="Times New Roman" w:hAnsi="Arial" w:cs="Arial"/>
                <w:color w:val="363636"/>
                <w:sz w:val="19"/>
                <w:szCs w:val="19"/>
              </w:rPr>
              <w:t>$120,000</w:t>
            </w:r>
          </w:p>
        </w:tc>
      </w:tr>
      <w:tr w:rsidR="00FF08A2" w:rsidRPr="00FF08A2" w14:paraId="0C841C55" w14:textId="77777777" w:rsidTr="00FF08A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31F38ED3" w14:textId="77777777" w:rsidR="00FF08A2" w:rsidRPr="00FF08A2" w:rsidRDefault="00FF08A2" w:rsidP="00FF08A2">
            <w:pPr>
              <w:spacing w:after="480" w:line="240" w:lineRule="auto"/>
              <w:rPr>
                <w:rFonts w:ascii="Arial" w:eastAsia="Times New Roman" w:hAnsi="Arial" w:cs="Arial"/>
                <w:color w:val="363636"/>
                <w:sz w:val="19"/>
                <w:szCs w:val="19"/>
              </w:rPr>
            </w:pPr>
            <w:r w:rsidRPr="00FF08A2">
              <w:rPr>
                <w:rFonts w:ascii="Arial" w:eastAsia="Times New Roman" w:hAnsi="Arial" w:cs="Arial"/>
                <w:color w:val="363636"/>
                <w:sz w:val="19"/>
                <w:szCs w:val="19"/>
              </w:rPr>
              <w:lastRenderedPageBreak/>
              <w:t>Less: variable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7BB038D" w14:textId="77777777" w:rsidR="00FF08A2" w:rsidRPr="00FF08A2" w:rsidRDefault="00FF08A2" w:rsidP="00FF08A2">
            <w:pPr>
              <w:spacing w:after="480" w:line="240" w:lineRule="auto"/>
              <w:jc w:val="right"/>
              <w:rPr>
                <w:rFonts w:ascii="Arial" w:eastAsia="Times New Roman" w:hAnsi="Arial" w:cs="Arial"/>
                <w:color w:val="363636"/>
                <w:sz w:val="19"/>
                <w:szCs w:val="19"/>
              </w:rPr>
            </w:pPr>
            <w:r w:rsidRPr="00FF08A2">
              <w:rPr>
                <w:rFonts w:ascii="Arial" w:eastAsia="Times New Roman" w:hAnsi="Arial" w:cs="Arial"/>
                <w:color w:val="363636"/>
                <w:sz w:val="19"/>
                <w:szCs w:val="19"/>
              </w:rPr>
              <w:t>72,000</w:t>
            </w:r>
          </w:p>
        </w:tc>
      </w:tr>
      <w:tr w:rsidR="00FF08A2" w:rsidRPr="00FF08A2" w14:paraId="29E501B1" w14:textId="77777777" w:rsidTr="00FF08A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33F8FC4" w14:textId="77777777" w:rsidR="00FF08A2" w:rsidRPr="00FF08A2" w:rsidRDefault="00FF08A2" w:rsidP="00FF08A2">
            <w:pPr>
              <w:spacing w:after="480" w:line="240" w:lineRule="auto"/>
              <w:rPr>
                <w:rFonts w:ascii="Arial" w:eastAsia="Times New Roman" w:hAnsi="Arial" w:cs="Arial"/>
                <w:color w:val="363636"/>
                <w:sz w:val="19"/>
                <w:szCs w:val="19"/>
              </w:rPr>
            </w:pPr>
            <w:r w:rsidRPr="00FF08A2">
              <w:rPr>
                <w:rFonts w:ascii="Arial" w:eastAsia="Times New Roman" w:hAnsi="Arial" w:cs="Arial"/>
                <w:color w:val="363636"/>
                <w:sz w:val="19"/>
                <w:szCs w:val="19"/>
              </w:rPr>
              <w:t>Contribution margin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87B3674" w14:textId="77777777" w:rsidR="00FF08A2" w:rsidRPr="00FF08A2" w:rsidRDefault="00FF08A2" w:rsidP="00FF08A2">
            <w:pPr>
              <w:spacing w:after="480" w:line="240" w:lineRule="auto"/>
              <w:jc w:val="right"/>
              <w:rPr>
                <w:rFonts w:ascii="Arial" w:eastAsia="Times New Roman" w:hAnsi="Arial" w:cs="Arial"/>
                <w:color w:val="363636"/>
                <w:sz w:val="19"/>
                <w:szCs w:val="19"/>
              </w:rPr>
            </w:pPr>
            <w:r w:rsidRPr="00FF08A2">
              <w:rPr>
                <w:rFonts w:ascii="Arial" w:eastAsia="Times New Roman" w:hAnsi="Arial" w:cs="Arial"/>
                <w:color w:val="363636"/>
                <w:sz w:val="19"/>
                <w:szCs w:val="19"/>
              </w:rPr>
              <w:t>$ 48,000</w:t>
            </w:r>
          </w:p>
        </w:tc>
      </w:tr>
      <w:tr w:rsidR="00FF08A2" w:rsidRPr="00FF08A2" w14:paraId="22170ADD" w14:textId="77777777" w:rsidTr="00FF08A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17EBF63" w14:textId="77777777" w:rsidR="00FF08A2" w:rsidRPr="00FF08A2" w:rsidRDefault="00FF08A2" w:rsidP="00FF08A2">
            <w:pPr>
              <w:spacing w:after="480" w:line="240" w:lineRule="auto"/>
              <w:rPr>
                <w:rFonts w:ascii="Arial" w:eastAsia="Times New Roman" w:hAnsi="Arial" w:cs="Arial"/>
                <w:color w:val="363636"/>
                <w:sz w:val="19"/>
                <w:szCs w:val="19"/>
              </w:rPr>
            </w:pPr>
            <w:r w:rsidRPr="00FF08A2">
              <w:rPr>
                <w:rFonts w:ascii="Arial" w:eastAsia="Times New Roman" w:hAnsi="Arial" w:cs="Arial"/>
                <w:color w:val="363636"/>
                <w:sz w:val="19"/>
                <w:szCs w:val="19"/>
              </w:rPr>
              <w:t>Less: Fixed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6811BE0" w14:textId="77777777" w:rsidR="00FF08A2" w:rsidRPr="00FF08A2" w:rsidRDefault="00FF08A2" w:rsidP="00FF08A2">
            <w:pPr>
              <w:spacing w:after="480" w:line="240" w:lineRule="auto"/>
              <w:jc w:val="right"/>
              <w:rPr>
                <w:rFonts w:ascii="Arial" w:eastAsia="Times New Roman" w:hAnsi="Arial" w:cs="Arial"/>
                <w:color w:val="363636"/>
                <w:sz w:val="19"/>
                <w:szCs w:val="19"/>
              </w:rPr>
            </w:pPr>
            <w:r w:rsidRPr="00FF08A2">
              <w:rPr>
                <w:rFonts w:ascii="Arial" w:eastAsia="Times New Roman" w:hAnsi="Arial" w:cs="Arial"/>
                <w:color w:val="363636"/>
                <w:sz w:val="19"/>
                <w:szCs w:val="19"/>
              </w:rPr>
              <w:t>40,000</w:t>
            </w:r>
          </w:p>
        </w:tc>
      </w:tr>
      <w:tr w:rsidR="00FF08A2" w:rsidRPr="00FF08A2" w14:paraId="110B5687" w14:textId="77777777" w:rsidTr="00FF08A2">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9087362" w14:textId="77777777" w:rsidR="00FF08A2" w:rsidRPr="00FF08A2" w:rsidRDefault="00FF08A2" w:rsidP="00FF08A2">
            <w:pPr>
              <w:spacing w:after="480" w:line="240" w:lineRule="auto"/>
              <w:rPr>
                <w:rFonts w:ascii="Arial" w:eastAsia="Times New Roman" w:hAnsi="Arial" w:cs="Arial"/>
                <w:color w:val="363636"/>
                <w:sz w:val="19"/>
                <w:szCs w:val="19"/>
              </w:rPr>
            </w:pPr>
            <w:r w:rsidRPr="00FF08A2">
              <w:rPr>
                <w:rFonts w:ascii="Arial" w:eastAsia="Times New Roman" w:hAnsi="Arial" w:cs="Arial"/>
                <w:color w:val="363636"/>
                <w:sz w:val="19"/>
                <w:szCs w:val="19"/>
              </w:rPr>
              <w:t>Net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043F722A" w14:textId="77777777" w:rsidR="00FF08A2" w:rsidRPr="00FF08A2" w:rsidRDefault="00FF08A2" w:rsidP="00FF08A2">
            <w:pPr>
              <w:spacing w:after="480" w:line="240" w:lineRule="auto"/>
              <w:jc w:val="right"/>
              <w:rPr>
                <w:rFonts w:ascii="Arial" w:eastAsia="Times New Roman" w:hAnsi="Arial" w:cs="Arial"/>
                <w:color w:val="363636"/>
                <w:sz w:val="19"/>
                <w:szCs w:val="19"/>
              </w:rPr>
            </w:pPr>
            <w:r w:rsidRPr="00FF08A2">
              <w:rPr>
                <w:rFonts w:ascii="Arial" w:eastAsia="Times New Roman" w:hAnsi="Arial" w:cs="Arial"/>
                <w:color w:val="363636"/>
                <w:sz w:val="19"/>
                <w:szCs w:val="19"/>
              </w:rPr>
              <w:t>$ 8,000</w:t>
            </w:r>
          </w:p>
        </w:tc>
      </w:tr>
    </w:tbl>
    <w:p w14:paraId="7B034564"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The contribution margin is the amount by which revenue exceeds the variable costs of producing that revenue. We can calculate it on a per unit or total sales volume basis. On a per unit basis, the contribution margin for Video Productions is $8 (the selling price of $20 minus the variable cost per unit of $ 12).</w:t>
      </w:r>
    </w:p>
    <w:p w14:paraId="478A110D" w14:textId="77777777" w:rsidR="00FF08A2" w:rsidRPr="00FF08A2" w:rsidRDefault="00FF08A2" w:rsidP="00FF08A2">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FF08A2">
        <w:rPr>
          <w:rFonts w:ascii="Arial" w:eastAsia="Times New Roman" w:hAnsi="Arial" w:cs="Arial"/>
          <w:b/>
          <w:bCs/>
          <w:color w:val="363636"/>
          <w:sz w:val="27"/>
          <w:szCs w:val="27"/>
        </w:rPr>
        <w:t>Contribution Margin = Sales – Variable Cost</w:t>
      </w:r>
    </w:p>
    <w:p w14:paraId="16BD0627"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The contribution margin indicates the amount of money remaining after the company covers its variable costs. This remainder contributes to the coverage of fixed costs and to net income. In Video Production’s income statement, the $ 48,000 contribution margin covers the $ 40,000 fixed costs and leaves $ 8,000 in net income.</w:t>
      </w:r>
    </w:p>
    <w:p w14:paraId="6CA1C541"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You can also calculate a contribution margin ratio by using the following formula:</w:t>
      </w:r>
    </w:p>
    <w:p w14:paraId="15194C92" w14:textId="77777777" w:rsidR="00FF08A2" w:rsidRPr="00FF08A2" w:rsidRDefault="00FF08A2" w:rsidP="00FF08A2">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FF08A2">
        <w:rPr>
          <w:rFonts w:ascii="Arial" w:eastAsia="Times New Roman" w:hAnsi="Arial" w:cs="Arial"/>
          <w:b/>
          <w:bCs/>
          <w:color w:val="363636"/>
          <w:sz w:val="27"/>
          <w:szCs w:val="27"/>
        </w:rPr>
        <w:t>Contribution Margin RATIO = Sales – Variable Cost</w:t>
      </w:r>
    </w:p>
    <w:p w14:paraId="069B3D8E"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 xml:space="preserve">Profit equation </w:t>
      </w:r>
      <w:proofErr w:type="gramStart"/>
      <w:r w:rsidRPr="00FF08A2">
        <w:rPr>
          <w:rFonts w:ascii="Arial" w:eastAsia="Times New Roman" w:hAnsi="Arial" w:cs="Arial"/>
          <w:color w:val="363636"/>
          <w:sz w:val="27"/>
          <w:szCs w:val="27"/>
        </w:rPr>
        <w:t>The</w:t>
      </w:r>
      <w:proofErr w:type="gramEnd"/>
      <w:r w:rsidRPr="00FF08A2">
        <w:rPr>
          <w:rFonts w:ascii="Arial" w:eastAsia="Times New Roman" w:hAnsi="Arial" w:cs="Arial"/>
          <w:color w:val="363636"/>
          <w:sz w:val="27"/>
          <w:szCs w:val="27"/>
        </w:rPr>
        <w:t xml:space="preserve"> profit equation is just like the income statement, except it presents the analysis in a slightly different form. According to the profit equation:</w:t>
      </w:r>
    </w:p>
    <w:p w14:paraId="0C953320"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color w:val="363636"/>
          <w:sz w:val="27"/>
          <w:szCs w:val="27"/>
        </w:rPr>
        <w:t>Net income = Revenue – Total variable costs – Fixed costs</w:t>
      </w:r>
    </w:p>
    <w:p w14:paraId="52D7117D"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color w:val="363636"/>
          <w:sz w:val="27"/>
          <w:szCs w:val="27"/>
        </w:rPr>
        <w:t>For Video Productions, the profit equation looks like this:</w:t>
      </w:r>
    </w:p>
    <w:p w14:paraId="1FC6D176"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color w:val="363636"/>
          <w:sz w:val="27"/>
          <w:szCs w:val="27"/>
        </w:rPr>
        <w:t>Net income = $ 120,000 − $ 72,000 − $ 40,000</w:t>
      </w:r>
    </w:p>
    <w:p w14:paraId="295E68AC"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b/>
          <w:bCs/>
          <w:color w:val="363636"/>
          <w:sz w:val="27"/>
          <w:szCs w:val="27"/>
        </w:rPr>
        <w:t>Net income = $ 8,000</w:t>
      </w:r>
    </w:p>
    <w:p w14:paraId="25E248EE"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 xml:space="preserve">The CVP chart above shows cost data for Video Productions in a relevant range of output from 500 to 10,000 units. Recall the relevant range is the range of production or sales volume over which the basic cost behavior assumptions hold true. For volumes outside these ranges, </w:t>
      </w:r>
      <w:r w:rsidRPr="00FF08A2">
        <w:rPr>
          <w:rFonts w:ascii="Arial" w:eastAsia="Times New Roman" w:hAnsi="Arial" w:cs="Arial"/>
          <w:color w:val="363636"/>
          <w:sz w:val="27"/>
          <w:szCs w:val="27"/>
        </w:rPr>
        <w:lastRenderedPageBreak/>
        <w:t>costs behave differently and alter the assumed relationships. For example, if Video Productions produced and sold more than 10,000 units per month, it might be necessary to increase plant capacity (thus incurring additional fixed costs) or to work extra shifts (thus incurring overtime charges and other inefficiencies). In either case, the assumed cost relationships would no longer be valid.</w:t>
      </w:r>
    </w:p>
    <w:p w14:paraId="7514A002"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The following video reviews the contribution margin (variable costing) income statement and its components to prepare for the computation of break-even.</w:t>
      </w:r>
    </w:p>
    <w:p w14:paraId="32C21902" w14:textId="52A8718D" w:rsidR="00FF08A2" w:rsidRPr="00973A22" w:rsidRDefault="00FF08A2" w:rsidP="00FF08A2">
      <w:pPr>
        <w:shd w:val="clear" w:color="auto" w:fill="F0F2F3"/>
        <w:spacing w:before="100" w:beforeAutospacing="1" w:after="100" w:afterAutospacing="1" w:line="240" w:lineRule="auto"/>
        <w:ind w:right="1050"/>
        <w:rPr>
          <w:rFonts w:ascii="Arial" w:eastAsia="Times New Roman" w:hAnsi="Arial" w:cs="Arial"/>
          <w:color w:val="363636"/>
          <w:sz w:val="27"/>
          <w:szCs w:val="27"/>
        </w:rPr>
      </w:pPr>
      <w:r w:rsidRPr="00FF08A2">
        <w:rPr>
          <w:rFonts w:ascii="Arial" w:eastAsia="Times New Roman" w:hAnsi="Arial" w:cs="Arial"/>
          <w:color w:val="363636"/>
          <w:sz w:val="27"/>
          <w:szCs w:val="27"/>
        </w:rPr>
        <w:t>https://www.youtube.com/watch?time_continue=4&amp;v=fyAEVKCSjcI</w:t>
      </w:r>
    </w:p>
    <w:p w14:paraId="0C4D7A7E" w14:textId="2319110E" w:rsidR="00973A22" w:rsidRDefault="00973A22"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973A22">
        <w:rPr>
          <w:rFonts w:ascii="Arial" w:eastAsia="Times New Roman" w:hAnsi="Arial" w:cs="Arial"/>
          <w:i/>
          <w:iCs/>
          <w:noProof/>
          <w:color w:val="CC3300"/>
          <w:sz w:val="24"/>
          <w:szCs w:val="24"/>
        </w:rPr>
        <w:drawing>
          <wp:inline distT="0" distB="0" distL="0" distR="0" wp14:anchorId="42161638" wp14:editId="0573B29C">
            <wp:extent cx="4810125" cy="685800"/>
            <wp:effectExtent l="0" t="0" r="9525" b="0"/>
            <wp:docPr id="4" name="Picture 4" descr="Determining Break-Even">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ermining Break-Even">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78713DF1" w14:textId="77777777" w:rsidR="00FF08A2" w:rsidRP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A company breaks even for a given period when sales revenue and costs charged to that period are equal. Thus, the break-even point is that level of operations at which a company realizes no net income or loss.</w:t>
      </w:r>
    </w:p>
    <w:p w14:paraId="2B6230E0" w14:textId="7AF1E3B6" w:rsidR="00FF08A2" w:rsidRDefault="00FF08A2" w:rsidP="00FF08A2">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FF08A2">
        <w:rPr>
          <w:rFonts w:ascii="Arial" w:eastAsia="Times New Roman" w:hAnsi="Arial" w:cs="Arial"/>
          <w:color w:val="363636"/>
          <w:sz w:val="27"/>
          <w:szCs w:val="27"/>
        </w:rPr>
        <w:t>A company may express a break-even point in dollars of sales revenue or number of units produced or sold. No matter how a company expresses its break-even point, it is still the point of zero income or loss. To illustrate the calculation of a break-even point, watch the following video.</w:t>
      </w:r>
      <w:r w:rsidRPr="00FF08A2">
        <w:t xml:space="preserve"> </w:t>
      </w:r>
      <w:hyperlink r:id="rId10" w:history="1">
        <w:r w:rsidRPr="00B26CB3">
          <w:rPr>
            <w:rStyle w:val="Hyperlink"/>
            <w:rFonts w:ascii="Arial" w:eastAsia="Times New Roman" w:hAnsi="Arial" w:cs="Arial"/>
            <w:sz w:val="27"/>
            <w:szCs w:val="27"/>
          </w:rPr>
          <w:t>https://www.youtube.com/watch?time_continue=9&amp;v=94lrvPlG9P4</w:t>
        </w:r>
      </w:hyperlink>
    </w:p>
    <w:p w14:paraId="12848F43"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Let us compute break-even for Video Productions.</w:t>
      </w:r>
    </w:p>
    <w:p w14:paraId="0278C3C7"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Fixed costs = $40,000</w:t>
      </w:r>
    </w:p>
    <w:p w14:paraId="6DFB52E0"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Contribution margin per unit = $20 selling price less $12 variable expenses = $8</w:t>
      </w:r>
    </w:p>
    <w:p w14:paraId="5DA7544F"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Break-even in units: $40,000 / 8 = 5,000 units</w:t>
      </w:r>
    </w:p>
    <w:p w14:paraId="775A520F"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Break-even in sales: $40,000 / ($8/$20) = $100,000</w:t>
      </w:r>
    </w:p>
    <w:p w14:paraId="5F0AF0D9"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Let us test the above computations by creating a contribution margin income statement. The revised income statement below shows that Video Productions break even at $100,000 in sales. Another way to define break-even is to say it is the point where the total contribution margin equals fixed costs.</w:t>
      </w: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2241"/>
        <w:gridCol w:w="1162"/>
      </w:tblGrid>
      <w:tr w:rsidR="00000A87" w:rsidRPr="00000A87" w14:paraId="7D2D822F" w14:textId="77777777" w:rsidTr="00000A87">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1C6A826" w14:textId="77777777" w:rsidR="00000A87" w:rsidRPr="00000A87" w:rsidRDefault="00000A87" w:rsidP="00000A87">
            <w:pPr>
              <w:spacing w:after="480" w:line="240" w:lineRule="auto"/>
              <w:jc w:val="center"/>
              <w:rPr>
                <w:rFonts w:ascii="Arial" w:eastAsia="Times New Roman" w:hAnsi="Arial" w:cs="Arial"/>
                <w:color w:val="363636"/>
                <w:sz w:val="19"/>
                <w:szCs w:val="19"/>
              </w:rPr>
            </w:pPr>
            <w:r w:rsidRPr="00000A87">
              <w:rPr>
                <w:rFonts w:ascii="Arial" w:eastAsia="Times New Roman" w:hAnsi="Arial" w:cs="Arial"/>
                <w:color w:val="363636"/>
                <w:sz w:val="19"/>
                <w:szCs w:val="19"/>
              </w:rPr>
              <w:t>Video Productions</w:t>
            </w:r>
          </w:p>
        </w:tc>
      </w:tr>
      <w:tr w:rsidR="00000A87" w:rsidRPr="00000A87" w14:paraId="47A2E9FA" w14:textId="77777777" w:rsidTr="00000A87">
        <w:tc>
          <w:tcPr>
            <w:tcW w:w="0" w:type="auto"/>
            <w:gridSpan w:val="2"/>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5E830BF" w14:textId="77777777" w:rsidR="00000A87" w:rsidRPr="00000A87" w:rsidRDefault="00000A87" w:rsidP="00000A87">
            <w:pPr>
              <w:spacing w:after="480" w:line="240" w:lineRule="auto"/>
              <w:jc w:val="center"/>
              <w:rPr>
                <w:rFonts w:ascii="Arial" w:eastAsia="Times New Roman" w:hAnsi="Arial" w:cs="Arial"/>
                <w:color w:val="363636"/>
                <w:sz w:val="19"/>
                <w:szCs w:val="19"/>
              </w:rPr>
            </w:pPr>
            <w:r w:rsidRPr="00000A87">
              <w:rPr>
                <w:rFonts w:ascii="Arial" w:eastAsia="Times New Roman" w:hAnsi="Arial" w:cs="Arial"/>
                <w:color w:val="363636"/>
                <w:sz w:val="19"/>
                <w:szCs w:val="19"/>
              </w:rPr>
              <w:lastRenderedPageBreak/>
              <w:t>Contribution Margin Income Statement</w:t>
            </w:r>
          </w:p>
        </w:tc>
      </w:tr>
      <w:tr w:rsidR="00000A87" w:rsidRPr="00000A87" w14:paraId="165A3BC3" w14:textId="77777777" w:rsidTr="00000A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FF6E673" w14:textId="77777777" w:rsidR="00000A87" w:rsidRPr="00000A87" w:rsidRDefault="00000A87" w:rsidP="00000A87">
            <w:pPr>
              <w:spacing w:after="480" w:line="240" w:lineRule="auto"/>
              <w:rPr>
                <w:rFonts w:ascii="Arial" w:eastAsia="Times New Roman" w:hAnsi="Arial" w:cs="Arial"/>
                <w:color w:val="363636"/>
                <w:sz w:val="19"/>
                <w:szCs w:val="19"/>
              </w:rPr>
            </w:pPr>
            <w:r w:rsidRPr="00000A87">
              <w:rPr>
                <w:rFonts w:ascii="Arial" w:eastAsia="Times New Roman" w:hAnsi="Arial" w:cs="Arial"/>
                <w:color w:val="363636"/>
                <w:sz w:val="19"/>
                <w:szCs w:val="19"/>
              </w:rPr>
              <w:t>Revenue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4DF3A052" w14:textId="77777777" w:rsidR="00000A87" w:rsidRPr="00000A87" w:rsidRDefault="00000A87" w:rsidP="00000A87">
            <w:pPr>
              <w:spacing w:after="480" w:line="240" w:lineRule="auto"/>
              <w:jc w:val="right"/>
              <w:rPr>
                <w:rFonts w:ascii="Arial" w:eastAsia="Times New Roman" w:hAnsi="Arial" w:cs="Arial"/>
                <w:color w:val="363636"/>
                <w:sz w:val="19"/>
                <w:szCs w:val="19"/>
              </w:rPr>
            </w:pPr>
            <w:r w:rsidRPr="00000A87">
              <w:rPr>
                <w:rFonts w:ascii="Arial" w:eastAsia="Times New Roman" w:hAnsi="Arial" w:cs="Arial"/>
                <w:color w:val="363636"/>
                <w:sz w:val="19"/>
                <w:szCs w:val="19"/>
              </w:rPr>
              <w:t>$100,000</w:t>
            </w:r>
          </w:p>
        </w:tc>
      </w:tr>
      <w:tr w:rsidR="00000A87" w:rsidRPr="00000A87" w14:paraId="3A2C7074" w14:textId="77777777" w:rsidTr="00000A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1EB376BE" w14:textId="77777777" w:rsidR="00000A87" w:rsidRPr="00000A87" w:rsidRDefault="00000A87" w:rsidP="00000A87">
            <w:pPr>
              <w:spacing w:after="480" w:line="240" w:lineRule="auto"/>
              <w:rPr>
                <w:rFonts w:ascii="Arial" w:eastAsia="Times New Roman" w:hAnsi="Arial" w:cs="Arial"/>
                <w:color w:val="363636"/>
                <w:sz w:val="19"/>
                <w:szCs w:val="19"/>
              </w:rPr>
            </w:pPr>
            <w:r w:rsidRPr="00000A87">
              <w:rPr>
                <w:rFonts w:ascii="Arial" w:eastAsia="Times New Roman" w:hAnsi="Arial" w:cs="Arial"/>
                <w:color w:val="363636"/>
                <w:sz w:val="19"/>
                <w:szCs w:val="19"/>
              </w:rPr>
              <w:t>Less: variable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5DF14C3" w14:textId="77777777" w:rsidR="00000A87" w:rsidRPr="00000A87" w:rsidRDefault="00000A87" w:rsidP="00000A87">
            <w:pPr>
              <w:spacing w:after="480" w:line="240" w:lineRule="auto"/>
              <w:jc w:val="right"/>
              <w:rPr>
                <w:rFonts w:ascii="Arial" w:eastAsia="Times New Roman" w:hAnsi="Arial" w:cs="Arial"/>
                <w:color w:val="363636"/>
                <w:sz w:val="19"/>
                <w:szCs w:val="19"/>
              </w:rPr>
            </w:pPr>
            <w:r w:rsidRPr="00000A87">
              <w:rPr>
                <w:rFonts w:ascii="Arial" w:eastAsia="Times New Roman" w:hAnsi="Arial" w:cs="Arial"/>
                <w:color w:val="363636"/>
                <w:sz w:val="19"/>
                <w:szCs w:val="19"/>
                <w:u w:val="single"/>
              </w:rPr>
              <w:t>60,000</w:t>
            </w:r>
          </w:p>
        </w:tc>
      </w:tr>
      <w:tr w:rsidR="00000A87" w:rsidRPr="00000A87" w14:paraId="24B8A2C1" w14:textId="77777777" w:rsidTr="00000A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5E2F665" w14:textId="77777777" w:rsidR="00000A87" w:rsidRPr="00000A87" w:rsidRDefault="00000A87" w:rsidP="00000A87">
            <w:pPr>
              <w:spacing w:after="480" w:line="240" w:lineRule="auto"/>
              <w:rPr>
                <w:rFonts w:ascii="Arial" w:eastAsia="Times New Roman" w:hAnsi="Arial" w:cs="Arial"/>
                <w:color w:val="363636"/>
                <w:sz w:val="19"/>
                <w:szCs w:val="19"/>
              </w:rPr>
            </w:pPr>
            <w:r w:rsidRPr="00000A87">
              <w:rPr>
                <w:rFonts w:ascii="Arial" w:eastAsia="Times New Roman" w:hAnsi="Arial" w:cs="Arial"/>
                <w:color w:val="363636"/>
                <w:sz w:val="19"/>
                <w:szCs w:val="19"/>
              </w:rPr>
              <w:t>Contribution margin</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7F135BE0" w14:textId="77777777" w:rsidR="00000A87" w:rsidRPr="00000A87" w:rsidRDefault="00000A87" w:rsidP="00000A87">
            <w:pPr>
              <w:spacing w:after="480" w:line="240" w:lineRule="auto"/>
              <w:jc w:val="right"/>
              <w:rPr>
                <w:rFonts w:ascii="Arial" w:eastAsia="Times New Roman" w:hAnsi="Arial" w:cs="Arial"/>
                <w:color w:val="363636"/>
                <w:sz w:val="19"/>
                <w:szCs w:val="19"/>
              </w:rPr>
            </w:pPr>
            <w:r w:rsidRPr="00000A87">
              <w:rPr>
                <w:rFonts w:ascii="Arial" w:eastAsia="Times New Roman" w:hAnsi="Arial" w:cs="Arial"/>
                <w:color w:val="363636"/>
                <w:sz w:val="19"/>
                <w:szCs w:val="19"/>
              </w:rPr>
              <w:t>$40,000</w:t>
            </w:r>
          </w:p>
        </w:tc>
      </w:tr>
      <w:tr w:rsidR="00000A87" w:rsidRPr="00000A87" w14:paraId="74DD145E" w14:textId="77777777" w:rsidTr="00000A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A487BB0" w14:textId="77777777" w:rsidR="00000A87" w:rsidRPr="00000A87" w:rsidRDefault="00000A87" w:rsidP="00000A87">
            <w:pPr>
              <w:spacing w:after="480" w:line="240" w:lineRule="auto"/>
              <w:rPr>
                <w:rFonts w:ascii="Arial" w:eastAsia="Times New Roman" w:hAnsi="Arial" w:cs="Arial"/>
                <w:color w:val="363636"/>
                <w:sz w:val="19"/>
                <w:szCs w:val="19"/>
              </w:rPr>
            </w:pPr>
            <w:r w:rsidRPr="00000A87">
              <w:rPr>
                <w:rFonts w:ascii="Arial" w:eastAsia="Times New Roman" w:hAnsi="Arial" w:cs="Arial"/>
                <w:color w:val="363636"/>
                <w:sz w:val="19"/>
                <w:szCs w:val="19"/>
              </w:rPr>
              <w:t>Less: Fixed costs</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29BDE3E8" w14:textId="77777777" w:rsidR="00000A87" w:rsidRPr="00000A87" w:rsidRDefault="00000A87" w:rsidP="00000A87">
            <w:pPr>
              <w:spacing w:after="480" w:line="240" w:lineRule="auto"/>
              <w:jc w:val="right"/>
              <w:rPr>
                <w:rFonts w:ascii="Arial" w:eastAsia="Times New Roman" w:hAnsi="Arial" w:cs="Arial"/>
                <w:color w:val="363636"/>
                <w:sz w:val="19"/>
                <w:szCs w:val="19"/>
              </w:rPr>
            </w:pPr>
            <w:r w:rsidRPr="00000A87">
              <w:rPr>
                <w:rFonts w:ascii="Arial" w:eastAsia="Times New Roman" w:hAnsi="Arial" w:cs="Arial"/>
                <w:color w:val="363636"/>
                <w:sz w:val="19"/>
                <w:szCs w:val="19"/>
                <w:u w:val="single"/>
              </w:rPr>
              <w:t>40,000</w:t>
            </w:r>
          </w:p>
        </w:tc>
      </w:tr>
      <w:tr w:rsidR="00000A87" w:rsidRPr="00000A87" w14:paraId="1290BB2E" w14:textId="77777777" w:rsidTr="00000A87">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6063593A" w14:textId="77777777" w:rsidR="00000A87" w:rsidRPr="00000A87" w:rsidRDefault="00000A87" w:rsidP="00000A87">
            <w:pPr>
              <w:spacing w:after="480" w:line="240" w:lineRule="auto"/>
              <w:rPr>
                <w:rFonts w:ascii="Arial" w:eastAsia="Times New Roman" w:hAnsi="Arial" w:cs="Arial"/>
                <w:color w:val="363636"/>
                <w:sz w:val="19"/>
                <w:szCs w:val="19"/>
              </w:rPr>
            </w:pPr>
            <w:r w:rsidRPr="00000A87">
              <w:rPr>
                <w:rFonts w:ascii="Arial" w:eastAsia="Times New Roman" w:hAnsi="Arial" w:cs="Arial"/>
                <w:color w:val="363636"/>
                <w:sz w:val="19"/>
                <w:szCs w:val="19"/>
              </w:rPr>
              <w:t>Net income</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vAlign w:val="center"/>
            <w:hideMark/>
          </w:tcPr>
          <w:p w14:paraId="5E62E24E" w14:textId="77777777" w:rsidR="00000A87" w:rsidRPr="00000A87" w:rsidRDefault="00000A87" w:rsidP="00000A87">
            <w:pPr>
              <w:spacing w:after="480" w:line="240" w:lineRule="auto"/>
              <w:jc w:val="right"/>
              <w:rPr>
                <w:rFonts w:ascii="Arial" w:eastAsia="Times New Roman" w:hAnsi="Arial" w:cs="Arial"/>
                <w:color w:val="363636"/>
                <w:sz w:val="19"/>
                <w:szCs w:val="19"/>
              </w:rPr>
            </w:pPr>
            <w:r w:rsidRPr="00000A87">
              <w:rPr>
                <w:rFonts w:ascii="Arial" w:eastAsia="Times New Roman" w:hAnsi="Arial" w:cs="Arial"/>
                <w:color w:val="363636"/>
                <w:sz w:val="19"/>
                <w:szCs w:val="19"/>
              </w:rPr>
              <w:t>0</w:t>
            </w:r>
          </w:p>
        </w:tc>
      </w:tr>
    </w:tbl>
    <w:p w14:paraId="55699C51"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b/>
          <w:bCs/>
          <w:color w:val="363636"/>
          <w:sz w:val="27"/>
          <w:szCs w:val="27"/>
        </w:rPr>
        <w:t>Margin of safety = Current sales – Break even sales</w:t>
      </w:r>
    </w:p>
    <w:p w14:paraId="4F9EA9A4"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Margin of safety = $ 120,000 – $ 100,000 = $ 20,000</w:t>
      </w:r>
    </w:p>
    <w:p w14:paraId="14DEC6BB"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Sometimes people express the margin of safety as a percentage, called the margin of safety rate or just margin of safety percentage. The </w:t>
      </w:r>
      <w:r w:rsidRPr="00000A87">
        <w:rPr>
          <w:rFonts w:ascii="Arial" w:eastAsia="Times New Roman" w:hAnsi="Arial" w:cs="Arial"/>
          <w:b/>
          <w:bCs/>
          <w:color w:val="363636"/>
          <w:sz w:val="27"/>
          <w:szCs w:val="27"/>
        </w:rPr>
        <w:t>margin of safety rate</w:t>
      </w:r>
      <w:r w:rsidRPr="00000A87">
        <w:rPr>
          <w:rFonts w:ascii="Arial" w:eastAsia="Times New Roman" w:hAnsi="Arial" w:cs="Arial"/>
          <w:color w:val="363636"/>
          <w:sz w:val="27"/>
          <w:szCs w:val="27"/>
        </w:rPr>
        <w:t> is equal to</w:t>
      </w:r>
    </w:p>
    <w:p w14:paraId="417AB8B8" w14:textId="77777777" w:rsidR="00000A87" w:rsidRPr="00000A87" w:rsidRDefault="00000A87" w:rsidP="00000A87">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000A87">
        <w:rPr>
          <w:rFonts w:ascii="Arial" w:eastAsia="Times New Roman" w:hAnsi="Arial" w:cs="Arial"/>
          <w:b/>
          <w:bCs/>
          <w:color w:val="363636"/>
          <w:sz w:val="27"/>
          <w:szCs w:val="27"/>
        </w:rPr>
        <w:t>(current sales- break-even sales) / current sales.</w:t>
      </w:r>
    </w:p>
    <w:p w14:paraId="1C0D3AF2"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Using the data just presented, we compute the margin of safety rate is $20,000 / 120,000 = 16.67 %</w:t>
      </w:r>
    </w:p>
    <w:p w14:paraId="429B100F"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This means that sales volume could drop by 16.67 percent before the company would incur a loss.</w:t>
      </w:r>
    </w:p>
    <w:p w14:paraId="51C3E77D" w14:textId="77777777" w:rsidR="00000A87" w:rsidRP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Although you are likely to use cost-volume-profit analysis for a single product, you will more frequently use it in multi-product situations. The easiest way to use cost-volume-profit analysis for a multi-product company is to use dollars of sales as the volume measure. For CVP purposes, a multi- product company must assume a given product mix. Product mix refers to the proportion of the company's total sales attributable to each type of product sold.</w:t>
      </w:r>
    </w:p>
    <w:p w14:paraId="639490A8" w14:textId="746C1E76" w:rsidR="00000A87" w:rsidRDefault="00000A87" w:rsidP="00000A87">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What about starting a coffee shop? The video highlights the use of break-even for such an endeavor.</w:t>
      </w:r>
      <w:r w:rsidRPr="00000A87">
        <w:t xml:space="preserve"> </w:t>
      </w:r>
      <w:hyperlink r:id="rId11" w:history="1">
        <w:r w:rsidRPr="00B26CB3">
          <w:rPr>
            <w:rStyle w:val="Hyperlink"/>
            <w:rFonts w:ascii="Arial" w:eastAsia="Times New Roman" w:hAnsi="Arial" w:cs="Arial"/>
            <w:sz w:val="27"/>
            <w:szCs w:val="27"/>
          </w:rPr>
          <w:t>https://www.youtube.com/watch?v=i7uhmGVsbUg</w:t>
        </w:r>
      </w:hyperlink>
    </w:p>
    <w:p w14:paraId="13B00FF8" w14:textId="77777777" w:rsidR="00FF08A2" w:rsidRPr="00973A22" w:rsidRDefault="00FF08A2" w:rsidP="00FF08A2">
      <w:pPr>
        <w:shd w:val="clear" w:color="auto" w:fill="F0F2F3"/>
        <w:spacing w:before="100" w:beforeAutospacing="1" w:after="100" w:afterAutospacing="1" w:line="240" w:lineRule="auto"/>
        <w:ind w:right="1050"/>
        <w:rPr>
          <w:rFonts w:ascii="Arial" w:eastAsia="Times New Roman" w:hAnsi="Arial" w:cs="Arial"/>
          <w:color w:val="363636"/>
          <w:sz w:val="27"/>
          <w:szCs w:val="27"/>
        </w:rPr>
      </w:pPr>
    </w:p>
    <w:p w14:paraId="1360DDBD" w14:textId="74B0D4A0" w:rsidR="00973A22" w:rsidRDefault="00973A22"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973A22">
        <w:rPr>
          <w:rFonts w:ascii="Arial" w:eastAsia="Times New Roman" w:hAnsi="Arial" w:cs="Arial"/>
          <w:i/>
          <w:iCs/>
          <w:noProof/>
          <w:color w:val="CC3300"/>
          <w:sz w:val="24"/>
          <w:szCs w:val="24"/>
        </w:rPr>
        <w:lastRenderedPageBreak/>
        <w:drawing>
          <wp:inline distT="0" distB="0" distL="0" distR="0" wp14:anchorId="645F4493" wp14:editId="539ABD23">
            <wp:extent cx="4810125" cy="685800"/>
            <wp:effectExtent l="0" t="0" r="9525" b="0"/>
            <wp:docPr id="3" name="Picture 3" descr="Determining Target Profi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ermining Target Profi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125" cy="685800"/>
                    </a:xfrm>
                    <a:prstGeom prst="rect">
                      <a:avLst/>
                    </a:prstGeom>
                    <a:noFill/>
                    <a:ln>
                      <a:noFill/>
                    </a:ln>
                  </pic:spPr>
                </pic:pic>
              </a:graphicData>
            </a:graphic>
          </wp:inline>
        </w:drawing>
      </w:r>
    </w:p>
    <w:p w14:paraId="4AEABAAD"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You can also use this same type of analysis to determine how many sales units or sales dollars you would need to make a specific profit (very helpful!). The good news is you have already learned the basic formula, we are just changing it slightly. The formulas we will need are:</w:t>
      </w:r>
    </w:p>
    <w:p w14:paraId="2A086B32" w14:textId="77777777" w:rsidR="00D122FD" w:rsidRPr="00000A87" w:rsidRDefault="00D122FD" w:rsidP="00D122FD">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000A87">
        <w:rPr>
          <w:rFonts w:ascii="Arial" w:eastAsia="Times New Roman" w:hAnsi="Arial" w:cs="Arial"/>
          <w:b/>
          <w:bCs/>
          <w:color w:val="363636"/>
          <w:sz w:val="27"/>
          <w:szCs w:val="27"/>
        </w:rPr>
        <w:t>Units at Target Profit =</w:t>
      </w:r>
    </w:p>
    <w:p w14:paraId="200529AB" w14:textId="77777777" w:rsidR="00D122FD" w:rsidRPr="00000A87" w:rsidRDefault="00D122FD" w:rsidP="00D122FD">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000A87">
        <w:rPr>
          <w:rFonts w:ascii="Arial" w:eastAsia="Times New Roman" w:hAnsi="Arial" w:cs="Arial"/>
          <w:color w:val="363636"/>
          <w:sz w:val="27"/>
          <w:szCs w:val="27"/>
        </w:rPr>
        <w:t>(Fixed Costs + Target Income)/Contribution Margin per unit</w:t>
      </w:r>
    </w:p>
    <w:p w14:paraId="011C4A0F" w14:textId="77777777" w:rsidR="00D122FD" w:rsidRPr="00000A87" w:rsidRDefault="00D122FD" w:rsidP="00D122FD">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000A87">
        <w:rPr>
          <w:rFonts w:ascii="Arial" w:eastAsia="Times New Roman" w:hAnsi="Arial" w:cs="Arial"/>
          <w:b/>
          <w:bCs/>
          <w:color w:val="363636"/>
          <w:sz w:val="27"/>
          <w:szCs w:val="27"/>
        </w:rPr>
        <w:t>Sales Dollars for Target Profit =</w:t>
      </w:r>
    </w:p>
    <w:p w14:paraId="3551D91F" w14:textId="77777777" w:rsidR="00D122FD" w:rsidRPr="00000A87" w:rsidRDefault="00D122FD" w:rsidP="00D122FD">
      <w:pPr>
        <w:shd w:val="clear" w:color="auto" w:fill="FAFAFA"/>
        <w:spacing w:before="100" w:beforeAutospacing="1" w:after="100" w:afterAutospacing="1" w:line="240" w:lineRule="auto"/>
        <w:ind w:left="1050" w:right="1050"/>
        <w:jc w:val="center"/>
        <w:rPr>
          <w:rFonts w:ascii="Arial" w:eastAsia="Times New Roman" w:hAnsi="Arial" w:cs="Arial"/>
          <w:color w:val="363636"/>
          <w:sz w:val="27"/>
          <w:szCs w:val="27"/>
        </w:rPr>
      </w:pPr>
      <w:r w:rsidRPr="00000A87">
        <w:rPr>
          <w:rFonts w:ascii="Arial" w:eastAsia="Times New Roman" w:hAnsi="Arial" w:cs="Arial"/>
          <w:color w:val="363636"/>
          <w:sz w:val="27"/>
          <w:szCs w:val="27"/>
        </w:rPr>
        <w:t>(Fixed Costs + Target Income)/Contribution Margin RATIO</w:t>
      </w:r>
    </w:p>
    <w:p w14:paraId="20035288" w14:textId="77777777" w:rsidR="00D122FD"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These look familiar (or they should!). These are the same formulas we used for break-even analysis but this time we have added target income. If you think about it, it is the same formula because at break-even our target income is zero.</w:t>
      </w:r>
      <w:r w:rsidRPr="00000A87">
        <w:t xml:space="preserve"> </w:t>
      </w:r>
      <w:hyperlink r:id="rId14" w:history="1">
        <w:r w:rsidRPr="00B26CB3">
          <w:rPr>
            <w:rStyle w:val="Hyperlink"/>
            <w:rFonts w:ascii="Arial" w:eastAsia="Times New Roman" w:hAnsi="Arial" w:cs="Arial"/>
            <w:sz w:val="27"/>
            <w:szCs w:val="27"/>
          </w:rPr>
          <w:t>https://www.youtube.com/watch?time_continue=7&amp;v=4U60Ya5ysMU</w:t>
        </w:r>
      </w:hyperlink>
    </w:p>
    <w:p w14:paraId="3A81E956"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Let’s look at another example. The management of a major airline wishes to know how many seats must be sold on Flight 529 to make $8,000 in profit. To solve this problem, management must identify and separate costs into fixed and variable categories.</w:t>
      </w:r>
      <w:r w:rsidRPr="00000A87">
        <w:rPr>
          <w:rFonts w:ascii="Arial" w:eastAsia="Times New Roman" w:hAnsi="Arial" w:cs="Arial"/>
          <w:color w:val="363636"/>
          <w:sz w:val="27"/>
          <w:szCs w:val="27"/>
        </w:rPr>
        <w:br/>
        <w:t>The fixed costs of Flight 529 are the same regardless of the number of seats filled. Fixed costs include the fuel required to fly the plane and crew (with no passengers) to its destination; depreciation on the plane used on the flight; and salaries of required crewmembers, gate attendants, and maintenance and refueling personnel. Fixed costs are $12,000.</w:t>
      </w:r>
    </w:p>
    <w:p w14:paraId="24E153BC"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The variable costs vary directly with the number of passengers. Variable costs include snacks and beverages provided to passengers, baggage handling costs, and the cost of the additional fuel required to fly the plane with passengers to its destination. Management would express each variable cost on a per passenger basis. Variable costs are $25 per passenger.</w:t>
      </w:r>
    </w:p>
    <w:p w14:paraId="73561A07"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Tickets are sold for $125 each. The contribution margin is $100 ($125 sales – $25 variable) and the contribution margin ratio is 80% ($100 contribution margin /$125 sales). We can calculate the units and sales dollar required to make $8,000 in profit by</w:t>
      </w:r>
      <w:proofErr w:type="gramStart"/>
      <w:r w:rsidRPr="00000A87">
        <w:rPr>
          <w:rFonts w:ascii="Arial" w:eastAsia="Times New Roman" w:hAnsi="Arial" w:cs="Arial"/>
          <w:color w:val="363636"/>
          <w:sz w:val="27"/>
          <w:szCs w:val="27"/>
        </w:rPr>
        <w:t>:\</w:t>
      </w:r>
      <w:proofErr w:type="gramEnd"/>
    </w:p>
    <w:p w14:paraId="49316A5D"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b/>
          <w:bCs/>
          <w:color w:val="363636"/>
          <w:sz w:val="27"/>
          <w:szCs w:val="27"/>
        </w:rPr>
        <w:lastRenderedPageBreak/>
        <w:t>Units at Target Profit =</w:t>
      </w:r>
    </w:p>
    <w:p w14:paraId="07CA5A50"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Fixed Costs + Target Income = 12,000 + 8,000 = $20,000 = 200 tickets</w:t>
      </w:r>
    </w:p>
    <w:p w14:paraId="78F77172"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The sales dollars required could be calculated as break even units of 200 tickets x $125 sales price per ticket = $25,000 or by using the following formula:</w:t>
      </w:r>
    </w:p>
    <w:p w14:paraId="47C82012"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b/>
          <w:bCs/>
          <w:color w:val="363636"/>
          <w:sz w:val="27"/>
          <w:szCs w:val="27"/>
        </w:rPr>
        <w:t>Sales Dollars for Target Profit =</w:t>
      </w:r>
    </w:p>
    <w:p w14:paraId="63831D8A"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(Fixed Costs + Target Income) / Contribution Margin RATIO</w:t>
      </w:r>
    </w:p>
    <w:p w14:paraId="38113084" w14:textId="77777777" w:rsidR="00D122FD" w:rsidRPr="00000A87"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or $20,000 / .8 = $25,000</w:t>
      </w:r>
    </w:p>
    <w:p w14:paraId="067F1BB0" w14:textId="77777777" w:rsidR="00D122FD" w:rsidRPr="00FF08A2" w:rsidRDefault="00D122FD" w:rsidP="00D122FD">
      <w:pPr>
        <w:shd w:val="clear" w:color="auto" w:fill="FAFAFA"/>
        <w:spacing w:before="100" w:beforeAutospacing="1" w:after="100" w:afterAutospacing="1" w:line="240" w:lineRule="auto"/>
        <w:ind w:left="1050" w:right="1050"/>
        <w:rPr>
          <w:rFonts w:ascii="Arial" w:eastAsia="Times New Roman" w:hAnsi="Arial" w:cs="Arial"/>
          <w:color w:val="363636"/>
          <w:sz w:val="27"/>
          <w:szCs w:val="27"/>
        </w:rPr>
      </w:pPr>
      <w:r w:rsidRPr="00000A87">
        <w:rPr>
          <w:rFonts w:ascii="Arial" w:eastAsia="Times New Roman" w:hAnsi="Arial" w:cs="Arial"/>
          <w:color w:val="363636"/>
          <w:sz w:val="27"/>
          <w:szCs w:val="27"/>
        </w:rPr>
        <w:t>Management can also use its knowledge of cost-volume-profit relationships to determine whether to increase sales promotion costs in an effort to increase sales volume or to accept an order at a lower-than-usual price. In general, the careful study of cost behavior helps management plan future courses of action.</w:t>
      </w:r>
    </w:p>
    <w:p w14:paraId="3ED9F722" w14:textId="77777777" w:rsidR="00D122FD" w:rsidRPr="00973A22" w:rsidRDefault="00D122FD"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p>
    <w:p w14:paraId="0627445A" w14:textId="77777777" w:rsidR="00973A22" w:rsidRPr="00973A22" w:rsidRDefault="00973A22" w:rsidP="00973A22">
      <w:pPr>
        <w:shd w:val="clear" w:color="auto" w:fill="C4D5DD"/>
        <w:spacing w:after="0" w:line="240" w:lineRule="auto"/>
        <w:outlineLvl w:val="2"/>
        <w:rPr>
          <w:rFonts w:ascii="Arial" w:eastAsia="Times New Roman" w:hAnsi="Arial" w:cs="Arial"/>
          <w:b/>
          <w:bCs/>
          <w:color w:val="005697"/>
          <w:sz w:val="29"/>
          <w:szCs w:val="29"/>
        </w:rPr>
      </w:pPr>
      <w:r w:rsidRPr="00973A22">
        <w:rPr>
          <w:rFonts w:ascii="Arial" w:eastAsia="Times New Roman" w:hAnsi="Arial" w:cs="Arial"/>
          <w:b/>
          <w:bCs/>
          <w:color w:val="005697"/>
          <w:sz w:val="29"/>
          <w:szCs w:val="29"/>
        </w:rPr>
        <w:t>Check Your Understanding</w:t>
      </w:r>
    </w:p>
    <w:p w14:paraId="2B75D603" w14:textId="77777777" w:rsidR="00973A22" w:rsidRPr="00973A22" w:rsidRDefault="00973A22"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973A22">
        <w:rPr>
          <w:rFonts w:ascii="Arial" w:eastAsia="Times New Roman" w:hAnsi="Arial" w:cs="Arial"/>
          <w:color w:val="363636"/>
          <w:sz w:val="27"/>
          <w:szCs w:val="27"/>
        </w:rPr>
        <w:t>Check your understanding to make sure that you have a good grasp of the background material. If you are not comfortable with the concepts, review some of the material again or go to the optional resource for more examples.</w:t>
      </w:r>
    </w:p>
    <w:tbl>
      <w:tblPr>
        <w:tblW w:w="11100" w:type="dxa"/>
        <w:shd w:val="clear" w:color="auto" w:fill="FFFFFF"/>
        <w:tblCellMar>
          <w:top w:w="15" w:type="dxa"/>
          <w:left w:w="15" w:type="dxa"/>
          <w:bottom w:w="15" w:type="dxa"/>
          <w:right w:w="15" w:type="dxa"/>
        </w:tblCellMar>
        <w:tblLook w:val="04A0" w:firstRow="1" w:lastRow="0" w:firstColumn="1" w:lastColumn="0" w:noHBand="0" w:noVBand="1"/>
      </w:tblPr>
      <w:tblGrid>
        <w:gridCol w:w="2472"/>
        <w:gridCol w:w="8628"/>
      </w:tblGrid>
      <w:tr w:rsidR="00973A22" w:rsidRPr="00973A22" w14:paraId="7AA9DA22" w14:textId="77777777" w:rsidTr="00D122FD">
        <w:tc>
          <w:tcPr>
            <w:tcW w:w="2472" w:type="dxa"/>
            <w:tcBorders>
              <w:top w:val="nil"/>
              <w:left w:val="nil"/>
              <w:bottom w:val="nil"/>
              <w:right w:val="nil"/>
            </w:tcBorders>
            <w:shd w:val="clear" w:color="auto" w:fill="F0F2F3"/>
            <w:tcMar>
              <w:top w:w="75" w:type="dxa"/>
              <w:left w:w="75" w:type="dxa"/>
              <w:bottom w:w="75" w:type="dxa"/>
              <w:right w:w="75" w:type="dxa"/>
            </w:tcMar>
            <w:vAlign w:val="center"/>
            <w:hideMark/>
          </w:tcPr>
          <w:p w14:paraId="629FF619" w14:textId="26DF0439" w:rsidR="00973A22" w:rsidRPr="00973A22" w:rsidRDefault="00973A22" w:rsidP="00973A22">
            <w:pPr>
              <w:spacing w:after="480" w:line="240" w:lineRule="auto"/>
              <w:rPr>
                <w:rFonts w:ascii="Times New Roman" w:eastAsia="Times New Roman" w:hAnsi="Times New Roman" w:cs="Times New Roman"/>
                <w:sz w:val="19"/>
                <w:szCs w:val="19"/>
              </w:rPr>
            </w:pPr>
            <w:r w:rsidRPr="00973A22">
              <w:rPr>
                <w:rFonts w:ascii="Arial" w:eastAsia="Times New Roman" w:hAnsi="Arial" w:cs="Arial"/>
                <w:i/>
                <w:iCs/>
                <w:noProof/>
                <w:color w:val="CC3300"/>
                <w:sz w:val="19"/>
                <w:szCs w:val="19"/>
              </w:rPr>
              <w:drawing>
                <wp:inline distT="0" distB="0" distL="0" distR="0" wp14:anchorId="35D69A43" wp14:editId="2791FE8C">
                  <wp:extent cx="704850" cy="723900"/>
                  <wp:effectExtent l="0" t="0" r="0" b="0"/>
                  <wp:docPr id="2" name="Picture 2" descr="https://tlc.trident.edu/content/enforced/102026-X_FUTURE_ACC201-MOD/images/quiz%20icon.png?_&amp;d2lSessionVal=WuCKTJULfhyk2oLhEfhAZmoxv&amp;ou=107901">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lc.trident.edu/content/enforced/102026-X_FUTURE_ACC201-MOD/images/quiz%20icon.png?_&amp;d2lSessionVal=WuCKTJULfhyk2oLhEfhAZmoxv&amp;ou=107901">
                            <a:hlinkClick r:id="rId15"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tc>
        <w:tc>
          <w:tcPr>
            <w:tcW w:w="8628" w:type="dxa"/>
            <w:tcBorders>
              <w:top w:val="nil"/>
              <w:left w:val="nil"/>
              <w:bottom w:val="nil"/>
              <w:right w:val="nil"/>
            </w:tcBorders>
            <w:shd w:val="clear" w:color="auto" w:fill="F0F2F3"/>
            <w:tcMar>
              <w:top w:w="75" w:type="dxa"/>
              <w:left w:w="75" w:type="dxa"/>
              <w:bottom w:w="75" w:type="dxa"/>
              <w:right w:w="75" w:type="dxa"/>
            </w:tcMar>
            <w:vAlign w:val="center"/>
            <w:hideMark/>
          </w:tcPr>
          <w:p w14:paraId="2DB10216" w14:textId="77777777" w:rsidR="00973A22" w:rsidRPr="00973A22" w:rsidRDefault="00973A22" w:rsidP="00973A22">
            <w:pPr>
              <w:spacing w:after="480" w:line="240" w:lineRule="auto"/>
              <w:rPr>
                <w:rFonts w:ascii="Times New Roman" w:eastAsia="Times New Roman" w:hAnsi="Times New Roman" w:cs="Times New Roman"/>
                <w:sz w:val="19"/>
                <w:szCs w:val="19"/>
              </w:rPr>
            </w:pPr>
            <w:r w:rsidRPr="00973A22">
              <w:rPr>
                <w:rFonts w:ascii="Times New Roman" w:eastAsia="Times New Roman" w:hAnsi="Times New Roman" w:cs="Times New Roman"/>
                <w:sz w:val="24"/>
                <w:szCs w:val="24"/>
              </w:rPr>
              <w:t>Click on the quiz icon for an ungraded, 20-question true-or-false self-study quiz to check your progress. If you are not satisfied with the score, review some of the material again. For more in-depth information, review materials listed under optional reading at the bottom of this page.</w:t>
            </w:r>
          </w:p>
        </w:tc>
      </w:tr>
    </w:tbl>
    <w:p w14:paraId="612249E1" w14:textId="77777777" w:rsidR="00973A22" w:rsidRPr="00973A22" w:rsidRDefault="00973A22" w:rsidP="00973A22">
      <w:pPr>
        <w:shd w:val="clear" w:color="auto" w:fill="F0F2F3"/>
        <w:spacing w:after="0" w:line="240" w:lineRule="auto"/>
        <w:rPr>
          <w:rFonts w:ascii="Arial" w:eastAsia="Times New Roman" w:hAnsi="Arial" w:cs="Arial"/>
          <w:vanish/>
          <w:color w:val="363636"/>
          <w:sz w:val="27"/>
          <w:szCs w:val="27"/>
        </w:rPr>
      </w:pPr>
    </w:p>
    <w:tbl>
      <w:tblPr>
        <w:tblW w:w="0" w:type="auto"/>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9750"/>
      </w:tblGrid>
      <w:tr w:rsidR="00973A22" w:rsidRPr="00973A22" w14:paraId="3FB6EE5C" w14:textId="77777777" w:rsidTr="00973A22">
        <w:tc>
          <w:tcPr>
            <w:tcW w:w="0" w:type="auto"/>
            <w:tcBorders>
              <w:top w:val="nil"/>
              <w:left w:val="nil"/>
              <w:bottom w:val="nil"/>
              <w:right w:val="nil"/>
            </w:tcBorders>
            <w:shd w:val="clear" w:color="auto" w:fill="FFFFFF"/>
            <w:tcMar>
              <w:top w:w="75" w:type="dxa"/>
              <w:left w:w="75" w:type="dxa"/>
              <w:bottom w:w="75" w:type="dxa"/>
              <w:right w:w="75" w:type="dxa"/>
            </w:tcMar>
            <w:vAlign w:val="center"/>
            <w:hideMark/>
          </w:tcPr>
          <w:p w14:paraId="7B791C91" w14:textId="77777777" w:rsidR="00973A22" w:rsidRPr="00973A22" w:rsidRDefault="00973A22" w:rsidP="00973A22">
            <w:pPr>
              <w:spacing w:before="48" w:after="48" w:line="240" w:lineRule="auto"/>
              <w:ind w:left="120" w:right="120"/>
              <w:rPr>
                <w:rFonts w:ascii="Times New Roman" w:eastAsia="Times New Roman" w:hAnsi="Times New Roman" w:cs="Times New Roman"/>
                <w:sz w:val="19"/>
                <w:szCs w:val="19"/>
              </w:rPr>
            </w:pPr>
            <w:r w:rsidRPr="00973A22">
              <w:rPr>
                <w:rFonts w:ascii="Times New Roman" w:eastAsia="Times New Roman" w:hAnsi="Times New Roman" w:cs="Times New Roman"/>
                <w:b/>
                <w:bCs/>
                <w:sz w:val="24"/>
                <w:szCs w:val="24"/>
              </w:rPr>
              <w:t>Final Thoughts</w:t>
            </w:r>
          </w:p>
          <w:p w14:paraId="7049F317" w14:textId="77777777" w:rsidR="00973A22" w:rsidRPr="00973A22" w:rsidRDefault="00973A22" w:rsidP="00973A22">
            <w:pPr>
              <w:spacing w:before="48" w:after="48" w:line="240" w:lineRule="auto"/>
              <w:ind w:left="120" w:right="120"/>
              <w:rPr>
                <w:rFonts w:ascii="Times New Roman" w:eastAsia="Times New Roman" w:hAnsi="Times New Roman" w:cs="Times New Roman"/>
                <w:sz w:val="19"/>
                <w:szCs w:val="19"/>
              </w:rPr>
            </w:pPr>
            <w:r w:rsidRPr="00973A22">
              <w:rPr>
                <w:rFonts w:ascii="Times New Roman" w:eastAsia="Times New Roman" w:hAnsi="Times New Roman" w:cs="Times New Roman"/>
                <w:sz w:val="24"/>
                <w:szCs w:val="24"/>
              </w:rPr>
              <w:t>Cost-Volume-Profit (CVP) analysis is a computational method that analyzes the effect of sales and product costs on the operating income of a business. Specifically, it assesses the effect of changes in variable costs, fixed costs and selling price on operating income. Break-even analysis (with or without a target profit) is a common CVP approach. Another definition of break-even is where the total contribution margin equals total costs. A contribution margin income statement shows zero income at break-even.</w:t>
            </w:r>
          </w:p>
          <w:p w14:paraId="5FFFA27A" w14:textId="77777777" w:rsidR="00973A22" w:rsidRPr="00973A22" w:rsidRDefault="00973A22" w:rsidP="00973A22">
            <w:pPr>
              <w:spacing w:before="48" w:after="48" w:line="240" w:lineRule="auto"/>
              <w:ind w:left="120" w:right="120"/>
              <w:rPr>
                <w:rFonts w:ascii="Times New Roman" w:eastAsia="Times New Roman" w:hAnsi="Times New Roman" w:cs="Times New Roman"/>
                <w:sz w:val="19"/>
                <w:szCs w:val="19"/>
              </w:rPr>
            </w:pPr>
            <w:r w:rsidRPr="00973A22">
              <w:rPr>
                <w:rFonts w:ascii="Times New Roman" w:eastAsia="Times New Roman" w:hAnsi="Times New Roman" w:cs="Times New Roman"/>
                <w:sz w:val="24"/>
                <w:szCs w:val="24"/>
              </w:rPr>
              <w:t>Several assumptions underlie CVP analysis:</w:t>
            </w:r>
          </w:p>
          <w:p w14:paraId="6D091C87" w14:textId="77777777" w:rsidR="00973A22" w:rsidRPr="00973A22" w:rsidRDefault="00973A22" w:rsidP="00973A22">
            <w:pPr>
              <w:numPr>
                <w:ilvl w:val="0"/>
                <w:numId w:val="2"/>
              </w:numPr>
              <w:spacing w:after="0" w:line="312" w:lineRule="atLeast"/>
              <w:ind w:left="0" w:right="270"/>
              <w:rPr>
                <w:rFonts w:ascii="Times New Roman" w:eastAsia="Times New Roman" w:hAnsi="Times New Roman" w:cs="Times New Roman"/>
                <w:sz w:val="18"/>
                <w:szCs w:val="18"/>
              </w:rPr>
            </w:pPr>
            <w:r w:rsidRPr="00973A22">
              <w:rPr>
                <w:rFonts w:ascii="Times New Roman" w:eastAsia="Times New Roman" w:hAnsi="Times New Roman" w:cs="Times New Roman"/>
                <w:sz w:val="20"/>
                <w:szCs w:val="20"/>
              </w:rPr>
              <w:t>All cost can be categorized as variable or fixed.</w:t>
            </w:r>
          </w:p>
          <w:p w14:paraId="11984AB3" w14:textId="77777777" w:rsidR="00973A22" w:rsidRPr="00973A22" w:rsidRDefault="00973A22" w:rsidP="00973A22">
            <w:pPr>
              <w:numPr>
                <w:ilvl w:val="0"/>
                <w:numId w:val="2"/>
              </w:numPr>
              <w:spacing w:after="0" w:line="312" w:lineRule="atLeast"/>
              <w:ind w:left="0" w:right="270"/>
              <w:rPr>
                <w:rFonts w:ascii="Times New Roman" w:eastAsia="Times New Roman" w:hAnsi="Times New Roman" w:cs="Times New Roman"/>
                <w:sz w:val="18"/>
                <w:szCs w:val="18"/>
              </w:rPr>
            </w:pPr>
            <w:r w:rsidRPr="00973A22">
              <w:rPr>
                <w:rFonts w:ascii="Times New Roman" w:eastAsia="Times New Roman" w:hAnsi="Times New Roman" w:cs="Times New Roman"/>
                <w:sz w:val="20"/>
                <w:szCs w:val="20"/>
              </w:rPr>
              <w:t>Sales price per unit, variable cost per unit, and total fixed cost are constant.</w:t>
            </w:r>
          </w:p>
          <w:p w14:paraId="1A767EFC" w14:textId="77777777" w:rsidR="00973A22" w:rsidRPr="00973A22" w:rsidRDefault="00973A22" w:rsidP="00973A22">
            <w:pPr>
              <w:numPr>
                <w:ilvl w:val="0"/>
                <w:numId w:val="2"/>
              </w:numPr>
              <w:spacing w:after="0" w:line="312" w:lineRule="atLeast"/>
              <w:ind w:left="0" w:right="270"/>
              <w:rPr>
                <w:rFonts w:ascii="Times New Roman" w:eastAsia="Times New Roman" w:hAnsi="Times New Roman" w:cs="Times New Roman"/>
                <w:sz w:val="18"/>
                <w:szCs w:val="18"/>
              </w:rPr>
            </w:pPr>
            <w:r w:rsidRPr="00973A22">
              <w:rPr>
                <w:rFonts w:ascii="Times New Roman" w:eastAsia="Times New Roman" w:hAnsi="Times New Roman" w:cs="Times New Roman"/>
                <w:sz w:val="20"/>
                <w:szCs w:val="20"/>
              </w:rPr>
              <w:t>Mixed costs must be split into their fixed and variable component by an estimation process.</w:t>
            </w:r>
          </w:p>
          <w:p w14:paraId="4EF247BD" w14:textId="77777777" w:rsidR="00973A22" w:rsidRPr="00973A22" w:rsidRDefault="00973A22" w:rsidP="00973A22">
            <w:pPr>
              <w:numPr>
                <w:ilvl w:val="0"/>
                <w:numId w:val="2"/>
              </w:numPr>
              <w:spacing w:after="0" w:line="312" w:lineRule="atLeast"/>
              <w:ind w:left="0" w:right="270"/>
              <w:rPr>
                <w:rFonts w:ascii="Times New Roman" w:eastAsia="Times New Roman" w:hAnsi="Times New Roman" w:cs="Times New Roman"/>
                <w:sz w:val="18"/>
                <w:szCs w:val="18"/>
              </w:rPr>
            </w:pPr>
            <w:r w:rsidRPr="00973A22">
              <w:rPr>
                <w:rFonts w:ascii="Times New Roman" w:eastAsia="Times New Roman" w:hAnsi="Times New Roman" w:cs="Times New Roman"/>
                <w:sz w:val="20"/>
                <w:szCs w:val="20"/>
              </w:rPr>
              <w:t>Understanding the behavior of costs makes cost-volume-profit analysis possible.</w:t>
            </w:r>
          </w:p>
        </w:tc>
      </w:tr>
    </w:tbl>
    <w:p w14:paraId="67E30AF3" w14:textId="77777777" w:rsidR="00973A22" w:rsidRPr="00973A22" w:rsidRDefault="00973A22" w:rsidP="00973A22">
      <w:pPr>
        <w:shd w:val="clear" w:color="auto" w:fill="C4D5DD"/>
        <w:spacing w:after="0" w:line="240" w:lineRule="auto"/>
        <w:outlineLvl w:val="2"/>
        <w:rPr>
          <w:rFonts w:ascii="Arial" w:eastAsia="Times New Roman" w:hAnsi="Arial" w:cs="Arial"/>
          <w:b/>
          <w:bCs/>
          <w:color w:val="005697"/>
          <w:sz w:val="29"/>
          <w:szCs w:val="29"/>
        </w:rPr>
      </w:pPr>
      <w:r w:rsidRPr="00973A22">
        <w:rPr>
          <w:rFonts w:ascii="Arial" w:eastAsia="Times New Roman" w:hAnsi="Arial" w:cs="Arial"/>
          <w:b/>
          <w:bCs/>
          <w:color w:val="005697"/>
          <w:sz w:val="29"/>
          <w:szCs w:val="29"/>
        </w:rPr>
        <w:lastRenderedPageBreak/>
        <w:t>Optional Reading</w:t>
      </w:r>
    </w:p>
    <w:p w14:paraId="0C27E9B7" w14:textId="77777777" w:rsidR="00973A22" w:rsidRPr="00973A22" w:rsidRDefault="00973A22" w:rsidP="00973A22">
      <w:pPr>
        <w:shd w:val="clear" w:color="auto" w:fill="F0F2F3"/>
        <w:spacing w:before="100" w:beforeAutospacing="1" w:after="100" w:afterAutospacing="1" w:line="240" w:lineRule="auto"/>
        <w:ind w:left="1050" w:right="1050"/>
        <w:rPr>
          <w:rFonts w:ascii="Arial" w:eastAsia="Times New Roman" w:hAnsi="Arial" w:cs="Arial"/>
          <w:color w:val="363636"/>
          <w:sz w:val="27"/>
          <w:szCs w:val="27"/>
        </w:rPr>
      </w:pPr>
      <w:r w:rsidRPr="00973A22">
        <w:rPr>
          <w:rFonts w:ascii="Arial" w:eastAsia="Times New Roman" w:hAnsi="Arial" w:cs="Arial"/>
          <w:color w:val="363636"/>
          <w:sz w:val="27"/>
          <w:szCs w:val="27"/>
        </w:rPr>
        <w:t>For further detail refer to Dr. Walther’s accounting text and videos.</w:t>
      </w:r>
    </w:p>
    <w:tbl>
      <w:tblPr>
        <w:tblW w:w="9720" w:type="dxa"/>
        <w:tblInd w:w="1050" w:type="dxa"/>
        <w:shd w:val="clear" w:color="auto" w:fill="FFFFFF"/>
        <w:tblCellMar>
          <w:top w:w="15" w:type="dxa"/>
          <w:left w:w="15" w:type="dxa"/>
          <w:bottom w:w="15" w:type="dxa"/>
          <w:right w:w="15" w:type="dxa"/>
        </w:tblCellMar>
        <w:tblLook w:val="04A0" w:firstRow="1" w:lastRow="0" w:firstColumn="1" w:lastColumn="0" w:noHBand="0" w:noVBand="1"/>
      </w:tblPr>
      <w:tblGrid>
        <w:gridCol w:w="3555"/>
        <w:gridCol w:w="6165"/>
      </w:tblGrid>
      <w:tr w:rsidR="00973A22" w:rsidRPr="00973A22" w14:paraId="6FC533FE" w14:textId="77777777" w:rsidTr="00973A22">
        <w:tc>
          <w:tcPr>
            <w:tcW w:w="1563" w:type="dxa"/>
            <w:tcBorders>
              <w:top w:val="nil"/>
              <w:left w:val="nil"/>
              <w:bottom w:val="nil"/>
              <w:right w:val="nil"/>
            </w:tcBorders>
            <w:shd w:val="clear" w:color="auto" w:fill="F0F2F3"/>
            <w:tcMar>
              <w:top w:w="75" w:type="dxa"/>
              <w:left w:w="75" w:type="dxa"/>
              <w:bottom w:w="75" w:type="dxa"/>
              <w:right w:w="75" w:type="dxa"/>
            </w:tcMar>
            <w:vAlign w:val="center"/>
            <w:hideMark/>
          </w:tcPr>
          <w:p w14:paraId="723DD85C" w14:textId="27D47042" w:rsidR="00973A22" w:rsidRPr="00973A22" w:rsidRDefault="00973A22" w:rsidP="00973A22">
            <w:pPr>
              <w:spacing w:after="480" w:line="240" w:lineRule="auto"/>
              <w:rPr>
                <w:rFonts w:ascii="Times New Roman" w:eastAsia="Times New Roman" w:hAnsi="Times New Roman" w:cs="Times New Roman"/>
                <w:sz w:val="19"/>
                <w:szCs w:val="19"/>
              </w:rPr>
            </w:pPr>
            <w:r w:rsidRPr="00973A22">
              <w:rPr>
                <w:rFonts w:ascii="Arial" w:eastAsia="Times New Roman" w:hAnsi="Arial" w:cs="Arial"/>
                <w:i/>
                <w:iCs/>
                <w:noProof/>
                <w:color w:val="CC3300"/>
                <w:sz w:val="19"/>
                <w:szCs w:val="19"/>
              </w:rPr>
              <w:drawing>
                <wp:inline distT="0" distB="0" distL="0" distR="0" wp14:anchorId="04E8D489" wp14:editId="1FCD737E">
                  <wp:extent cx="2162175" cy="1200150"/>
                  <wp:effectExtent l="0" t="0" r="0" b="0"/>
                  <wp:docPr id="1" name="Picture 1" descr="https://tlc.trident.edu/content/enforced/102026-X_FUTURE_ACC201-MOD/images/principles%20of%20accounting%20icon.png?_&amp;d2lSessionVal=WuCKTJULfhyk2oLhEfhAZmoxv&amp;ou=107901">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lc.trident.edu/content/enforced/102026-X_FUTURE_ACC201-MOD/images/principles%20of%20accounting%20icon.png?_&amp;d2lSessionVal=WuCKTJULfhyk2oLhEfhAZmoxv&amp;ou=107901">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62175" cy="1200150"/>
                          </a:xfrm>
                          <a:prstGeom prst="rect">
                            <a:avLst/>
                          </a:prstGeom>
                          <a:noFill/>
                          <a:ln>
                            <a:noFill/>
                          </a:ln>
                        </pic:spPr>
                      </pic:pic>
                    </a:graphicData>
                  </a:graphic>
                </wp:inline>
              </w:drawing>
            </w:r>
          </w:p>
        </w:tc>
        <w:tc>
          <w:tcPr>
            <w:tcW w:w="7797" w:type="dxa"/>
            <w:tcBorders>
              <w:top w:val="nil"/>
              <w:left w:val="nil"/>
              <w:bottom w:val="nil"/>
              <w:right w:val="nil"/>
            </w:tcBorders>
            <w:shd w:val="clear" w:color="auto" w:fill="F0F2F3"/>
            <w:tcMar>
              <w:top w:w="75" w:type="dxa"/>
              <w:left w:w="75" w:type="dxa"/>
              <w:bottom w:w="75" w:type="dxa"/>
              <w:right w:w="75" w:type="dxa"/>
            </w:tcMar>
            <w:vAlign w:val="center"/>
            <w:hideMark/>
          </w:tcPr>
          <w:p w14:paraId="3AE98AEE" w14:textId="77777777" w:rsidR="00973A22" w:rsidRDefault="00973A22" w:rsidP="00973A22">
            <w:pPr>
              <w:spacing w:after="480" w:line="240" w:lineRule="auto"/>
              <w:rPr>
                <w:rFonts w:ascii="Times New Roman" w:eastAsia="Times New Roman" w:hAnsi="Times New Roman" w:cs="Times New Roman"/>
                <w:sz w:val="24"/>
                <w:szCs w:val="24"/>
              </w:rPr>
            </w:pPr>
            <w:r w:rsidRPr="00973A22">
              <w:rPr>
                <w:rFonts w:ascii="Times New Roman" w:eastAsia="Times New Roman" w:hAnsi="Times New Roman" w:cs="Times New Roman"/>
                <w:sz w:val="24"/>
                <w:szCs w:val="24"/>
              </w:rPr>
              <w:t>Walther, L. (2017). Chapter 18: </w:t>
            </w:r>
            <w:hyperlink r:id="rId19" w:tgtFrame="_blank" w:history="1">
              <w:r w:rsidRPr="00973A22">
                <w:rPr>
                  <w:rFonts w:ascii="Arial" w:eastAsia="Times New Roman" w:hAnsi="Arial" w:cs="Arial"/>
                  <w:i/>
                  <w:iCs/>
                  <w:color w:val="CC3300"/>
                  <w:sz w:val="23"/>
                  <w:szCs w:val="23"/>
                  <w:u w:val="single"/>
                </w:rPr>
                <w:t>Cost-Volume-Profit and Business Scalability</w:t>
              </w:r>
            </w:hyperlink>
            <w:r w:rsidRPr="00973A22">
              <w:rPr>
                <w:rFonts w:ascii="Times New Roman" w:eastAsia="Times New Roman" w:hAnsi="Times New Roman" w:cs="Times New Roman"/>
                <w:sz w:val="24"/>
                <w:szCs w:val="24"/>
              </w:rPr>
              <w:t>.</w:t>
            </w:r>
          </w:p>
          <w:p w14:paraId="2BA51217" w14:textId="7010768B" w:rsidR="00973A22" w:rsidRDefault="00C16F9A" w:rsidP="00973A22">
            <w:pPr>
              <w:spacing w:after="480" w:line="240" w:lineRule="auto"/>
              <w:rPr>
                <w:rFonts w:ascii="Times New Roman" w:eastAsia="Times New Roman" w:hAnsi="Times New Roman" w:cs="Times New Roman"/>
                <w:sz w:val="19"/>
                <w:szCs w:val="19"/>
              </w:rPr>
            </w:pPr>
            <w:hyperlink r:id="rId20" w:history="1">
              <w:r w:rsidR="00973A22" w:rsidRPr="00B26CB3">
                <w:rPr>
                  <w:rStyle w:val="Hyperlink"/>
                  <w:rFonts w:ascii="Times New Roman" w:eastAsia="Times New Roman" w:hAnsi="Times New Roman" w:cs="Times New Roman"/>
                  <w:sz w:val="19"/>
                  <w:szCs w:val="19"/>
                </w:rPr>
                <w:t>http://www.principlesofaccounting.com/chapter-18/</w:t>
              </w:r>
            </w:hyperlink>
          </w:p>
          <w:p w14:paraId="49A23B2E" w14:textId="680BE6E0" w:rsidR="00973A22" w:rsidRPr="00973A22" w:rsidRDefault="00973A22" w:rsidP="00973A22">
            <w:pPr>
              <w:spacing w:after="480" w:line="240" w:lineRule="auto"/>
              <w:rPr>
                <w:rFonts w:ascii="Times New Roman" w:eastAsia="Times New Roman" w:hAnsi="Times New Roman" w:cs="Times New Roman"/>
                <w:sz w:val="19"/>
                <w:szCs w:val="19"/>
              </w:rPr>
            </w:pPr>
          </w:p>
        </w:tc>
      </w:tr>
    </w:tbl>
    <w:p w14:paraId="1DECAC22" w14:textId="77777777" w:rsidR="00FD22CF" w:rsidRDefault="00FD22CF"/>
    <w:sectPr w:rsidR="00FD22CF" w:rsidSect="00D122F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E6847"/>
    <w:multiLevelType w:val="multilevel"/>
    <w:tmpl w:val="56F0A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C41754"/>
    <w:multiLevelType w:val="multilevel"/>
    <w:tmpl w:val="645A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wMzQxNTYyMTcwMjJQ0lEKTi0uzszPAykwrAUAWhstHCwAAAA="/>
  </w:docVars>
  <w:rsids>
    <w:rsidRoot w:val="00973A22"/>
    <w:rsid w:val="00000A87"/>
    <w:rsid w:val="00973A22"/>
    <w:rsid w:val="00C16F9A"/>
    <w:rsid w:val="00D122FD"/>
    <w:rsid w:val="00FD22CF"/>
    <w:rsid w:val="00FF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AD3B9"/>
  <w15:chartTrackingRefBased/>
  <w15:docId w15:val="{694296FB-45A9-4EF6-9594-DEB023B6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3A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73A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3A2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3A2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73A2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3A2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73A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3A22"/>
    <w:rPr>
      <w:color w:val="0000FF"/>
      <w:u w:val="single"/>
    </w:rPr>
  </w:style>
  <w:style w:type="character" w:styleId="Strong">
    <w:name w:val="Strong"/>
    <w:basedOn w:val="DefaultParagraphFont"/>
    <w:uiPriority w:val="22"/>
    <w:qFormat/>
    <w:rsid w:val="00973A22"/>
    <w:rPr>
      <w:b/>
      <w:bCs/>
    </w:rPr>
  </w:style>
  <w:style w:type="character" w:customStyle="1" w:styleId="UnresolvedMention">
    <w:name w:val="Unresolved Mention"/>
    <w:basedOn w:val="DefaultParagraphFont"/>
    <w:uiPriority w:val="99"/>
    <w:semiHidden/>
    <w:unhideWhenUsed/>
    <w:rsid w:val="00973A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0927">
      <w:bodyDiv w:val="1"/>
      <w:marLeft w:val="0"/>
      <w:marRight w:val="0"/>
      <w:marTop w:val="0"/>
      <w:marBottom w:val="0"/>
      <w:divBdr>
        <w:top w:val="none" w:sz="0" w:space="0" w:color="auto"/>
        <w:left w:val="none" w:sz="0" w:space="0" w:color="auto"/>
        <w:bottom w:val="none" w:sz="0" w:space="0" w:color="auto"/>
        <w:right w:val="none" w:sz="0" w:space="0" w:color="auto"/>
      </w:divBdr>
      <w:divsChild>
        <w:div w:id="1563372487">
          <w:marLeft w:val="0"/>
          <w:marRight w:val="0"/>
          <w:marTop w:val="0"/>
          <w:marBottom w:val="0"/>
          <w:divBdr>
            <w:top w:val="none" w:sz="0" w:space="0" w:color="auto"/>
            <w:left w:val="none" w:sz="0" w:space="0" w:color="auto"/>
            <w:bottom w:val="none" w:sz="0" w:space="0" w:color="auto"/>
            <w:right w:val="none" w:sz="0" w:space="0" w:color="auto"/>
          </w:divBdr>
        </w:div>
        <w:div w:id="1559852791">
          <w:marLeft w:val="0"/>
          <w:marRight w:val="0"/>
          <w:marTop w:val="0"/>
          <w:marBottom w:val="0"/>
          <w:divBdr>
            <w:top w:val="none" w:sz="0" w:space="0" w:color="auto"/>
            <w:left w:val="none" w:sz="0" w:space="0" w:color="auto"/>
            <w:bottom w:val="none" w:sz="0" w:space="0" w:color="auto"/>
            <w:right w:val="none" w:sz="0" w:space="0" w:color="auto"/>
          </w:divBdr>
          <w:divsChild>
            <w:div w:id="191470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027011">
      <w:bodyDiv w:val="1"/>
      <w:marLeft w:val="0"/>
      <w:marRight w:val="0"/>
      <w:marTop w:val="0"/>
      <w:marBottom w:val="0"/>
      <w:divBdr>
        <w:top w:val="none" w:sz="0" w:space="0" w:color="auto"/>
        <w:left w:val="none" w:sz="0" w:space="0" w:color="auto"/>
        <w:bottom w:val="none" w:sz="0" w:space="0" w:color="auto"/>
        <w:right w:val="none" w:sz="0" w:space="0" w:color="auto"/>
      </w:divBdr>
    </w:div>
    <w:div w:id="946692777">
      <w:bodyDiv w:val="1"/>
      <w:marLeft w:val="0"/>
      <w:marRight w:val="0"/>
      <w:marTop w:val="0"/>
      <w:marBottom w:val="0"/>
      <w:divBdr>
        <w:top w:val="none" w:sz="0" w:space="0" w:color="auto"/>
        <w:left w:val="none" w:sz="0" w:space="0" w:color="auto"/>
        <w:bottom w:val="none" w:sz="0" w:space="0" w:color="auto"/>
        <w:right w:val="none" w:sz="0" w:space="0" w:color="auto"/>
      </w:divBdr>
    </w:div>
    <w:div w:id="1602639673">
      <w:bodyDiv w:val="1"/>
      <w:marLeft w:val="0"/>
      <w:marRight w:val="0"/>
      <w:marTop w:val="0"/>
      <w:marBottom w:val="0"/>
      <w:divBdr>
        <w:top w:val="none" w:sz="0" w:space="0" w:color="auto"/>
        <w:left w:val="none" w:sz="0" w:space="0" w:color="auto"/>
        <w:bottom w:val="none" w:sz="0" w:space="0" w:color="auto"/>
        <w:right w:val="none" w:sz="0" w:space="0" w:color="auto"/>
      </w:divBdr>
    </w:div>
    <w:div w:id="1753773446">
      <w:bodyDiv w:val="1"/>
      <w:marLeft w:val="0"/>
      <w:marRight w:val="0"/>
      <w:marTop w:val="0"/>
      <w:marBottom w:val="0"/>
      <w:divBdr>
        <w:top w:val="none" w:sz="0" w:space="0" w:color="auto"/>
        <w:left w:val="none" w:sz="0" w:space="0" w:color="auto"/>
        <w:bottom w:val="none" w:sz="0" w:space="0" w:color="auto"/>
        <w:right w:val="none" w:sz="0" w:space="0" w:color="auto"/>
      </w:divBdr>
    </w:div>
    <w:div w:id="213740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lc.trident.edu/content/enforced/107901-ACC501-2018JAN29FT-1/Modules/Module2/Determining%20Break-Even.html?ou=107901" TargetMode="External"/><Relationship Id="rId13" Type="http://schemas.openxmlformats.org/officeDocument/2006/relationships/image" Target="media/image4.png"/><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tlc.trident.edu/content/enforced/107901-ACC501-2018JAN29FT-1/Modules/Module2/Determining%20Target%20Profit.html?ou=107901" TargetMode="External"/><Relationship Id="rId17" Type="http://schemas.openxmlformats.org/officeDocument/2006/relationships/hyperlink" Target="http://www.principlesofaccounting.com/chapter-1/"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principlesofaccounting.com/chapter-1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youtube.com/watch?v=i7uhmGVsbUg" TargetMode="External"/><Relationship Id="rId5" Type="http://schemas.openxmlformats.org/officeDocument/2006/relationships/hyperlink" Target="https://tlc.trident.edu/content/enforced/107901-ACC501-2018JAN29FT-1/Modules/Module2/Cost-Volume-Profit%20Analysis.html?ou=107901" TargetMode="External"/><Relationship Id="rId15" Type="http://schemas.openxmlformats.org/officeDocument/2006/relationships/hyperlink" Target="https://tlc.trident.edu/d2l/common/dialogs/quickLink/quickLink.d2l?ou=107901&amp;type=quiz&amp;rcode=TUI-259672" TargetMode="External"/><Relationship Id="rId10" Type="http://schemas.openxmlformats.org/officeDocument/2006/relationships/hyperlink" Target="https://www.youtube.com/watch?time_continue=9&amp;v=94lrvPlG9P4" TargetMode="External"/><Relationship Id="rId19" Type="http://schemas.openxmlformats.org/officeDocument/2006/relationships/hyperlink" Target="http://www.principlesofaccounting.com/chapter-18/"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youtube.com/watch?time_continue=7&amp;v=4U60Ya5ysM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ranjan</dc:creator>
  <cp:keywords/>
  <dc:description/>
  <cp:lastModifiedBy>augky</cp:lastModifiedBy>
  <cp:revision>2</cp:revision>
  <dcterms:created xsi:type="dcterms:W3CDTF">2018-08-04T02:03:00Z</dcterms:created>
  <dcterms:modified xsi:type="dcterms:W3CDTF">2018-08-04T02:03:00Z</dcterms:modified>
</cp:coreProperties>
</file>