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3C4" w:rsidRDefault="009773C4" w:rsidP="00FE67E8">
      <w:pPr>
        <w:spacing w:after="160" w:line="259" w:lineRule="auto"/>
        <w:rPr>
          <w:rFonts w:ascii="Arial" w:eastAsia="Calibri" w:hAnsi="Arial" w:cs="Arial"/>
          <w:sz w:val="24"/>
          <w:u w:val="single"/>
          <w:lang w:eastAsia="en-US"/>
        </w:rPr>
      </w:pPr>
      <w:r>
        <w:rPr>
          <w:rFonts w:ascii="Arial" w:eastAsia="Calibri" w:hAnsi="Arial" w:cs="Arial"/>
          <w:sz w:val="24"/>
          <w:u w:val="single"/>
          <w:lang w:eastAsia="en-US"/>
        </w:rPr>
        <w:t>EXAMPLE 1</w:t>
      </w:r>
    </w:p>
    <w:p w:rsidR="00FE67E8" w:rsidRPr="00FE67E8" w:rsidRDefault="00FE67E8" w:rsidP="00FE67E8">
      <w:pPr>
        <w:spacing w:after="160" w:line="259" w:lineRule="auto"/>
        <w:rPr>
          <w:rFonts w:ascii="Arial" w:eastAsia="Calibri" w:hAnsi="Arial" w:cs="Arial"/>
          <w:sz w:val="24"/>
          <w:u w:val="single"/>
          <w:lang w:eastAsia="en-US"/>
        </w:rPr>
      </w:pPr>
      <w:r w:rsidRPr="00FE67E8">
        <w:rPr>
          <w:rFonts w:ascii="Arial" w:eastAsia="Calibri" w:hAnsi="Arial" w:cs="Arial"/>
          <w:sz w:val="24"/>
          <w:u w:val="single"/>
          <w:lang w:eastAsia="en-US"/>
        </w:rPr>
        <w:t>A comparison of two theories of the learner and learning</w:t>
      </w:r>
    </w:p>
    <w:p w:rsidR="00FE67E8" w:rsidRPr="00FE67E8" w:rsidRDefault="00FE67E8" w:rsidP="00FE67E8">
      <w:pPr>
        <w:spacing w:after="160" w:line="259" w:lineRule="auto"/>
        <w:rPr>
          <w:rFonts w:ascii="Arial" w:eastAsia="Calibri" w:hAnsi="Arial" w:cs="Arial"/>
          <w:u w:val="single"/>
          <w:lang w:eastAsia="en-US"/>
        </w:rPr>
      </w:pPr>
      <w:r w:rsidRPr="00FE67E8">
        <w:rPr>
          <w:rFonts w:ascii="Arial" w:eastAsia="Calibri" w:hAnsi="Arial" w:cs="Arial"/>
          <w:u w:val="single"/>
          <w:lang w:eastAsia="en-US"/>
        </w:rPr>
        <w:t>Introduction</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Theories about the learner and the learning experience are central to the fields of education and psychology. In this essay, I will discuss both these concepts in relation to neoliberalism and critical pedagogy. I will explore how the individual learner and their role is conceptualised, the relationship between the individual learner and their environment, and in addition, the weight that each theory gives to individual capacity and collective endeavour. I will also discuss the approach of each theory to epistemology, ontology and methodology and I will explore how each theory conceptualises a good teacher. I will also outline the significance of society, culture and politics to both the selected perspectives.</w:t>
      </w:r>
    </w:p>
    <w:p w:rsidR="00FE67E8" w:rsidRPr="00FE67E8" w:rsidRDefault="00FE67E8" w:rsidP="00FE67E8">
      <w:pPr>
        <w:spacing w:after="160" w:line="259" w:lineRule="auto"/>
        <w:rPr>
          <w:rFonts w:ascii="Arial" w:eastAsia="Calibri" w:hAnsi="Arial" w:cs="Arial"/>
          <w:u w:val="single"/>
          <w:lang w:eastAsia="en-US"/>
        </w:rPr>
      </w:pPr>
      <w:r w:rsidRPr="00FE67E8">
        <w:rPr>
          <w:rFonts w:ascii="Arial" w:eastAsia="Calibri" w:hAnsi="Arial" w:cs="Arial"/>
          <w:u w:val="single"/>
          <w:lang w:eastAsia="en-US"/>
        </w:rPr>
        <w:t>How the individual learner is conceptualised in both the selected theories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With neoliberalism, the learner is seen as a consumer rather than as a producer of knowledge (Marginson, 1997, p.5). Neoliberalism emphasises marketization and views education as providing a service to its attendants, and the knowledge needed to succeed in a competitive capitalist corporate working environment. Students and parents are increasingly being given choice regarding the educational institution they attend, and therefore are not viewed as active thinkers in the learning process. They are clientele who are receptors of the academic knowledge needed to pass exams and, in the long term, obtain good jobs (Slaughter and Rhodes, 2004). I strongly disagree with the increasing marketization of educational institutions because it devalues the original thought and initiative that are crucial to life after formal study. Formal learning should not be overridden with objectives and bureaucratic aims but instead it should take place in an environment open to lateral thinking. Initiative is needed in everyday unforeseen events.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Critical pedagogy views the learner as an active constructer and producer of knowledge and original thought (Jarvis, 2005, p.99). Paulo Freire (1970), a key critical pedagogue, argued that education should cultivate students’ skills regarding self-realisation and also nurture the ability to challenge common-sense beliefs rather than just accept the status quo. Academics such as Kellner (2000, p.197), argue that critical pedagogy should aim to create educational institutions which exist with the sole purpose of making a social rather than economic contribution to society. </w:t>
      </w:r>
    </w:p>
    <w:p w:rsidR="00FE67E8" w:rsidRPr="00FE67E8" w:rsidRDefault="00FE67E8" w:rsidP="00FE67E8">
      <w:pPr>
        <w:spacing w:after="160" w:line="259" w:lineRule="auto"/>
        <w:rPr>
          <w:rFonts w:ascii="Arial" w:eastAsia="Calibri" w:hAnsi="Arial" w:cs="Arial"/>
          <w:u w:val="single"/>
          <w:lang w:eastAsia="en-US"/>
        </w:rPr>
      </w:pPr>
      <w:r w:rsidRPr="00FE67E8">
        <w:rPr>
          <w:rFonts w:ascii="Arial" w:eastAsia="Calibri" w:hAnsi="Arial" w:cs="Arial"/>
          <w:u w:val="single"/>
          <w:lang w:eastAsia="en-US"/>
        </w:rPr>
        <w:t>The approach each theory adopts in relation to epistemology, ontology and methodology</w:t>
      </w:r>
    </w:p>
    <w:p w:rsidR="00FE67E8" w:rsidRPr="00FE67E8" w:rsidRDefault="00FE67E8" w:rsidP="00FE67E8">
      <w:pPr>
        <w:spacing w:before="240" w:after="160" w:line="259" w:lineRule="auto"/>
        <w:rPr>
          <w:rFonts w:ascii="Arial" w:eastAsia="Calibri" w:hAnsi="Arial" w:cs="Arial"/>
          <w:lang w:eastAsia="en-US"/>
        </w:rPr>
      </w:pPr>
      <w:r w:rsidRPr="00FE67E8">
        <w:rPr>
          <w:rFonts w:ascii="Arial" w:eastAsia="Calibri" w:hAnsi="Arial" w:cs="Arial"/>
          <w:lang w:eastAsia="en-US"/>
        </w:rPr>
        <w:t xml:space="preserve">A functionalist perspective is central in terms of the epistemological, ontological and methodological approaches of neo-liberalism. Functionalism views all aspects of society as predominantly harmonious and as having a crucial contribution to its survival (Oxford English Dictionary, 2014). As neo-liberalism sees no major flaws in the structure of a capitalist society, without major state intervention (Danzelot, 1984) both ontologically and epistemologically the ideology views there being no need to seek an alternative notion of the truth than what appears on face value. As neo-liberalism is not concerned with the subjectivities of society’s citizens (Hall, 1988, p.152), students in a neo-liberalist education system are prescribed hard facts that fail to take into account any consideration of individual differences and needs. Neo-liberalist education fails to challenge common discourses and thus never sets out to seek alternative views on the way in which society could alternatively operate. Neoliberalism takes a positivist stance and believes that there is truth in scientific psychological research regarding the way in which people learn. </w:t>
      </w:r>
    </w:p>
    <w:p w:rsidR="00FE67E8" w:rsidRPr="00FE67E8" w:rsidRDefault="00FE67E8" w:rsidP="00FE67E8">
      <w:pPr>
        <w:spacing w:before="240" w:after="160" w:line="259" w:lineRule="auto"/>
        <w:rPr>
          <w:rFonts w:ascii="Arial" w:eastAsia="Calibri" w:hAnsi="Arial" w:cs="Arial"/>
          <w:lang w:eastAsia="en-US"/>
        </w:rPr>
      </w:pPr>
      <w:r w:rsidRPr="00FE67E8">
        <w:rPr>
          <w:rFonts w:ascii="Arial" w:eastAsia="Calibri" w:hAnsi="Arial" w:cs="Arial"/>
          <w:lang w:eastAsia="en-US"/>
        </w:rPr>
        <w:lastRenderedPageBreak/>
        <w:t>Critical pedagogy takes both a radical humanist and radical structuralist approach with regard to epistemology, ontology and methodology. It is concerned with changing and challenging common societal discourses and its larger, overriding structures. Unlike neo-liberalism, it sets out to pose questions regarding those of truth and aims to discover alternatives to everyday norms that it views as expressive and exploitive (Gore, 1994, p.111). A critical pedagogical approach is taken by Reynolds and Martusewicz (1994, p.224) when they state that freedom is an active process whereby we have to change both our own thoughts and those of others. Critical pedagogical education takes a strong interpretivist stance and fosters the idea that there is no universal foundation for truth and objectivity. It values research however is conscious that any research undertaken is determined by “inherently subjective perspectives” (Leistyna and Woodrum, 1996, p.4).</w:t>
      </w:r>
    </w:p>
    <w:p w:rsidR="00FE67E8" w:rsidRPr="00FE67E8" w:rsidRDefault="00FE67E8" w:rsidP="00FE67E8">
      <w:pPr>
        <w:spacing w:after="160" w:line="259" w:lineRule="auto"/>
        <w:rPr>
          <w:rFonts w:ascii="Arial" w:eastAsia="Calibri" w:hAnsi="Arial" w:cs="Arial"/>
          <w:u w:val="single"/>
          <w:lang w:eastAsia="en-US"/>
        </w:rPr>
      </w:pPr>
      <w:r w:rsidRPr="00FE67E8">
        <w:rPr>
          <w:rFonts w:ascii="Arial" w:eastAsia="Calibri" w:hAnsi="Arial" w:cs="Arial"/>
          <w:u w:val="single"/>
          <w:lang w:eastAsia="en-US"/>
        </w:rPr>
        <w:t>The weight given to individual capacity and collective endeavour</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With regard to the weight given to individual capacity and collective endeavour, neo-liberalism and critical pedagogy vary considerably. Neoliberalism places great emphasis on the individual whereas critical pedagogy favours collectivism.</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Neoliberalist discourse is a strong example of Sampson’s (1988, p.1288) notion of self-contained individualism which is “the belief that each of us is an entity separate from every other and the group.” It promotes the idea that the individuals’ main focus is the self and that people should be self-sufficient regarding their finances and their achievements. This neoliberal belief is reflected in both Conservative and New Labour government initiatives such as Margaret Thatcher’s right-to-buy scheme (Colclough, 1991, p.203) as well as the Conservative’s continuous roll-back of the state. Dardot and Laval (2009, p.164), for example, argue that throughout time Conservative governments have dismantled solidarity by withdrawing financial support for those in need. </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A fundamental principle of critical pedagogy, on the other hand, is collective endeavour and “the need to include all voices in the learning process” (Leistya and Woodrum, 1996, p.5). Critical pedagogues argue that positive change can only come about through unity and the engagement and sharing of different individuals’ ideas and opinions. This philosophy respects individualism but sees major advantages in cohesive activities and the learning experience. I believe that the promotion of cohesive actions in society is extremely positive and will lead to more efficient ways of dealing with societal issues.</w:t>
      </w:r>
    </w:p>
    <w:p w:rsidR="00FE67E8" w:rsidRPr="00FE67E8" w:rsidRDefault="00FE67E8" w:rsidP="00FE67E8">
      <w:pPr>
        <w:spacing w:after="160" w:line="259" w:lineRule="auto"/>
        <w:rPr>
          <w:rFonts w:ascii="Arial" w:eastAsia="Calibri" w:hAnsi="Arial" w:cs="Arial"/>
          <w:u w:val="single"/>
          <w:lang w:eastAsia="en-US"/>
        </w:rPr>
      </w:pPr>
      <w:r w:rsidRPr="00FE67E8">
        <w:rPr>
          <w:rFonts w:ascii="Arial" w:eastAsia="Calibri" w:hAnsi="Arial" w:cs="Arial"/>
          <w:u w:val="single"/>
          <w:lang w:eastAsia="en-US"/>
        </w:rPr>
        <w:t>The relationship between the individual learner and their environment</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Regarding the relationship between the individual learner and their environment, there is a significant difference between neoliberalism and critical pedagogy. When discussing environment, this essay is referring to both the immediate educational environment and the wider societal and community environment. Neoliberalism views the individual as submissive to their environment, not encouraged in an educational context to reflect and critique their surroundings. Instead of promoting curiosity, neoliberal education emphasises the principal focus of learning to be preparation for the job market (Harris, 2007, p.19). </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Contrastingly, with critical pedagogical education, the individual is an active participant in relation to their environment, encouraged to critique educational practices and urged to reflect upon the neoliberal principles shaping current educational institutions (Kascák and Pupala, 2011, p.147). I believe that the critical pedagogical teaching method is superior to that of the neoliberal philosophy, because change that puts people before economics is only likely to occur if the current status quo is reflected upon.</w:t>
      </w:r>
    </w:p>
    <w:p w:rsidR="00FE67E8" w:rsidRPr="00FE67E8" w:rsidRDefault="00FE67E8" w:rsidP="00FE67E8">
      <w:pPr>
        <w:spacing w:after="160" w:line="259" w:lineRule="auto"/>
        <w:rPr>
          <w:rFonts w:ascii="Arial" w:eastAsia="Calibri" w:hAnsi="Arial" w:cs="Arial"/>
          <w:u w:val="single"/>
          <w:lang w:eastAsia="en-US"/>
        </w:rPr>
      </w:pPr>
      <w:r w:rsidRPr="00FE67E8">
        <w:rPr>
          <w:rFonts w:ascii="Arial" w:eastAsia="Calibri" w:hAnsi="Arial" w:cs="Arial"/>
          <w:u w:val="single"/>
          <w:lang w:eastAsia="en-US"/>
        </w:rPr>
        <w:t>How the role of the learner is conceptualised</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lastRenderedPageBreak/>
        <w:t xml:space="preserve">The role of the learner also differs greatly between neoliberalism and critical pedagogy. Neoliberalism views the learner as a market asset to the educational context of which they are part (Giroux and Giroux, 2006, p.24). As a result of neo-liberal influenced governmental policy, schools have been increasingly forced to compete in an educational market in which quality is assessed in the form of exam result league tables (Barry </w:t>
      </w:r>
      <w:r w:rsidRPr="00FE67E8">
        <w:rPr>
          <w:rFonts w:ascii="Arial" w:eastAsia="Calibri" w:hAnsi="Arial" w:cs="Arial"/>
          <w:i/>
          <w:lang w:eastAsia="en-US"/>
        </w:rPr>
        <w:t xml:space="preserve">et al, </w:t>
      </w:r>
      <w:r w:rsidRPr="00FE67E8">
        <w:rPr>
          <w:rFonts w:ascii="Arial" w:eastAsia="Calibri" w:hAnsi="Arial" w:cs="Arial"/>
          <w:lang w:eastAsia="en-US"/>
        </w:rPr>
        <w:t>1996, p.28). The more academically successful the pupil, the greater benefit they are to the school. Although neoliberalism is currently the dominating societal ideology, its principles are heavily criticised by some critics. Portelli and Konechy (2013, p.89), for example, state that neo-liberal culture is oppressive and “has a detrimental influence on any and all commitments to democratic ideals in educational settings.”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Critical pedagogy views the learner as being an active and reflective thinker who poses questions regarding common societal discourses. Critical pedagogues want learners to eventually make a difference to society as a result of the education they receive. This could be attempting to tackle discrimination for example (Berlak, 1994, p.38). Ellsworth (1994, p.102) argues how education is a means to promoting an antiracist society and states that because topics such as inequality and discrimination will be actively discussed in critical pedagogically rooted learning environments, learners will grow to eventually create institutions that “embody justice, respect, and the absence of oppression.” </w:t>
      </w:r>
    </w:p>
    <w:p w:rsidR="00FE67E8" w:rsidRPr="00FE67E8" w:rsidRDefault="00FE67E8" w:rsidP="00FE67E8">
      <w:pPr>
        <w:spacing w:after="160" w:line="259" w:lineRule="auto"/>
        <w:rPr>
          <w:rFonts w:ascii="Arial" w:eastAsia="Calibri" w:hAnsi="Arial" w:cs="Arial"/>
          <w:u w:val="single"/>
          <w:lang w:eastAsia="en-US"/>
        </w:rPr>
      </w:pPr>
      <w:r w:rsidRPr="00FE67E8">
        <w:rPr>
          <w:rFonts w:ascii="Arial" w:eastAsia="Calibri" w:hAnsi="Arial" w:cs="Arial"/>
          <w:u w:val="single"/>
          <w:lang w:eastAsia="en-US"/>
        </w:rPr>
        <w:t>How each perspective conceptualises a good teacher</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Each perspective presents a contrasting view of a good teacher. Neoliberalism requires the instillation of society’s prerequisites to learners through an authoritative pedagogy (Hayek, 1949, p.6), with the teacher as a transmitter of ED Hirsch’s (1993) concept of “core knowledge”. Supporters of core knowledge strongly oppose democratic teaching techniques, such as individualisation, and place great value on whole class instruction, prescribed knowledge and rigorous objective tests. This can be seen as the banking teaching method (Bridges and Jonathan, 2002) in which “the teacher assumes the students to be empty of knowledge and void of life experiences” and thus simply offloads pre-decided facts and ideas. I think that this method has a detrimental impact on the ability to think critically for both students and teachers. This negative view is also taken by Portelli and Konechy (2013, p.92) who note that school systems organized according to the “results-based logic of neoliberalism instrumentalise teachers and dehumanize students.” Both Lyotard (1984, p.4) and Smyth (2001, p.39) also note that within education, there is an ever increasing lack of imaginative space. From my experience working in a mainstream school, I certainly agree with this statement.</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Critical pedagogy requires the teacher to engage pupils in an active learning experience in which they are given the chance to engage with societal issues and reflect upon the environments in which they are situated (Bruckerhoff, 1994, p.87). Teachers are expected to create an environment in which debate, critical reflection, and negotiation are defining aspects and are also expected to generate an environment in which all classroom participants are able to act as learner, knower, and teacher (Giroux, 2011, p.3). I agree with Reynolds and Martusewicz (1994, p.224) who state that “educators of all levels have an enormous responsibility in the practice of freedom.” I believe that although there are “overriding pressures” (Chomsky, 1994, p.141), teachers should be courageous and try to change the institutions within which they work by encouraging their students to think critically about them. I agree with Apple (1999, p.199) who states that an education that fails to take into account everyday struggle that result from overriding forces, such as neoliberalism, is not worthy of being labelled as education.</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u w:val="single"/>
          <w:lang w:eastAsia="en-US"/>
        </w:rPr>
        <w:t>The place and significance of society, culture and politics in each specific theory of learning</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lastRenderedPageBreak/>
        <w:t>Both perspectives are similar with regard to the significance they place on society, culture and politics. Essentially, both are sociological and extremely political theories that can be applied into other domains of social life. Neoliberalism is concerned with the marketization of all services in society (Turner, 2008, p.116), education being just one example, and critical pedagogy is concerned with the changing of societal structures as a result of effective teaching practices that encourage learners to recognise that the most indoctrinated practices in their lives (Giroux and McLaren, 1996, p.323) are a result of an ideological arrangement. Although neoliberalism is the most dominant practice regarding the general western context, critical pedagogy has infiltrated educational environments and individual teaching practices on a macro-level (Arshad, 2012, p.4). Although it is almost impossible to think of policies being developed that are not neo-liberal and are “not subject to the aim of economic production” (Billington, 2000, p.79), I believe that critical pedagogy is a powerful concept that is increasingly gaining recognition and praise.</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In relation to culture, which is defined as “The arts and other manifestations of human intellectual achievement regarded collectively” (Oxford English Dictionary, 2014), with neoliberalism, the view that capitalism should be overriding and thus remained unchallenged, is central (Harris, 2007, p.4). I believe that as neoliberal philosophy places little value on collectivism, which is a key component of culture, it fails to take into account the achievements and work of people that are unrelated to economic production. This, in my opinion, is an extremely dismal ideology to live by. I favour the critical pedagogy view that embraces, respects and acknowledges that culture is a huge part of human life.</w:t>
      </w:r>
    </w:p>
    <w:p w:rsidR="00FE67E8" w:rsidRPr="00FE67E8" w:rsidRDefault="00FE67E8" w:rsidP="00FE67E8">
      <w:pPr>
        <w:spacing w:after="160" w:line="259" w:lineRule="auto"/>
        <w:rPr>
          <w:rFonts w:ascii="Arial" w:eastAsia="Calibri" w:hAnsi="Arial" w:cs="Arial"/>
          <w:u w:val="single"/>
          <w:lang w:eastAsia="en-US"/>
        </w:rPr>
      </w:pPr>
      <w:r w:rsidRPr="00FE67E8">
        <w:rPr>
          <w:rFonts w:ascii="Arial" w:eastAsia="Calibri" w:hAnsi="Arial" w:cs="Arial"/>
          <w:u w:val="single"/>
          <w:lang w:eastAsia="en-US"/>
        </w:rPr>
        <w:t>Conclusion</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In conclusion, I have examined how neoliberalism views the learner as a consumer of knowledge and how critical pedagogy views the learner as a producer of knowledge and individual thought, capable of challenging the status quo. I have shown how functionalism and a non-critical view of society is central to a neo-liberal approach, whereas critical pedagogy takes both a radical humanist and radical structuralist view. I have shown how neoliberalism places emphasis on the individual whereas critical pedagogy favours collectivism.</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With regard to the individual learner and their environment, I have shown how there is a fundamental difference between neoliberalism, where the learner is a passive occupant of their environment, and critical pedagogy, where they are an active and critical participant. Neoliberalism views the leaner as a potential market asset, whereas critical pedagogy views the learner as an active and reflective thinker. I have shown how each perspective views the ideal teacher differently, respectively as a transmitter of core knowledge as opposed to someone supporting an active learning experience.</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Despite their differences, both approaches are in fact similar, with regard to the significance they place on society, culture and politics. Neoliberalism sees capitalism as the norm whereas critical pedagogy can be a catalyst for analysis, challenge and ultimately fundamental societal change.</w:t>
      </w:r>
    </w:p>
    <w:p w:rsidR="00FE67E8" w:rsidRPr="00FE67E8" w:rsidRDefault="00FE67E8" w:rsidP="00FE67E8">
      <w:pPr>
        <w:spacing w:after="160" w:line="259" w:lineRule="auto"/>
        <w:rPr>
          <w:rFonts w:ascii="Arial" w:eastAsia="Calibri" w:hAnsi="Arial" w:cs="Arial"/>
          <w:sz w:val="24"/>
          <w:szCs w:val="24"/>
          <w:u w:val="single"/>
          <w:lang w:eastAsia="en-US"/>
        </w:rPr>
      </w:pPr>
      <w:r w:rsidRPr="00FE67E8">
        <w:rPr>
          <w:rFonts w:ascii="Arial" w:eastAsia="Calibri" w:hAnsi="Arial" w:cs="Arial"/>
          <w:sz w:val="24"/>
          <w:szCs w:val="24"/>
          <w:u w:val="single"/>
          <w:lang w:eastAsia="en-US"/>
        </w:rPr>
        <w:t>Bibliography</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Apple, M. W. (1999). </w:t>
      </w:r>
      <w:r w:rsidRPr="00FE67E8">
        <w:rPr>
          <w:rFonts w:ascii="Arial" w:eastAsia="Calibri" w:hAnsi="Arial" w:cs="Arial"/>
          <w:i/>
          <w:lang w:eastAsia="en-US"/>
        </w:rPr>
        <w:t xml:space="preserve">Power, Meaning and Identity: Essays in Critical Educational Studies. </w:t>
      </w:r>
      <w:r w:rsidRPr="00FE67E8">
        <w:rPr>
          <w:rFonts w:ascii="Arial" w:eastAsia="Calibri" w:hAnsi="Arial" w:cs="Arial"/>
          <w:lang w:eastAsia="en-US"/>
        </w:rPr>
        <w:t>New York, USA: Peter Lang</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Arshad, R. (2012). Shaping Practice: the impact of personal values and experiences. In R. Arshad, T. Wrigley &amp; L. Pratt, (Eds.), </w:t>
      </w:r>
      <w:r w:rsidRPr="00FE67E8">
        <w:rPr>
          <w:rFonts w:ascii="Arial" w:eastAsia="Calibri" w:hAnsi="Arial" w:cs="Arial"/>
          <w:i/>
          <w:lang w:eastAsia="en-US"/>
        </w:rPr>
        <w:t xml:space="preserve">Social Justice Re-examined: dilemmas and solutions for the classroom teacher, </w:t>
      </w:r>
      <w:r w:rsidRPr="00FE67E8">
        <w:rPr>
          <w:rFonts w:ascii="Arial" w:eastAsia="Calibri" w:hAnsi="Arial" w:cs="Arial"/>
          <w:lang w:eastAsia="en-US"/>
        </w:rPr>
        <w:t>3-18. London, England: IOE Press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lastRenderedPageBreak/>
        <w:t xml:space="preserve">Barry, A., Osborne, T. &amp; Rose, N. (1996). </w:t>
      </w:r>
      <w:r w:rsidRPr="00FE67E8">
        <w:rPr>
          <w:rFonts w:ascii="Arial" w:eastAsia="Calibri" w:hAnsi="Arial" w:cs="Arial"/>
          <w:i/>
          <w:lang w:eastAsia="en-US"/>
        </w:rPr>
        <w:t xml:space="preserve">Foucault and Political Reason: Liberalism, neo-liberalism and rationalities of government. </w:t>
      </w:r>
      <w:r w:rsidRPr="00FE67E8">
        <w:rPr>
          <w:rFonts w:ascii="Arial" w:eastAsia="Calibri" w:hAnsi="Arial" w:cs="Arial"/>
          <w:lang w:eastAsia="en-US"/>
        </w:rPr>
        <w:t>London, England: UCL Press Limited</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Billington, T. (2000). </w:t>
      </w:r>
      <w:r w:rsidRPr="00FE67E8">
        <w:rPr>
          <w:rFonts w:ascii="Arial" w:eastAsia="Calibri" w:hAnsi="Arial" w:cs="Arial"/>
          <w:i/>
          <w:lang w:eastAsia="en-US"/>
        </w:rPr>
        <w:t>Separating, losing and excluding children: Narratives of difference</w:t>
      </w:r>
      <w:r w:rsidRPr="00FE67E8">
        <w:rPr>
          <w:rFonts w:ascii="Arial" w:eastAsia="Calibri" w:hAnsi="Arial" w:cs="Arial"/>
          <w:lang w:eastAsia="en-US"/>
        </w:rPr>
        <w:t>. London, England: Routledge</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Berlak, A. (1994). Antiracist Pedagogy in the College Classroom: Mutual Recognition and a Logic of Paradox. In R. A. Martusewicz and W. M. Reynolds, (Eds.), </w:t>
      </w:r>
      <w:r w:rsidRPr="00FE67E8">
        <w:rPr>
          <w:rFonts w:ascii="Arial" w:eastAsia="Calibri" w:hAnsi="Arial" w:cs="Arial"/>
          <w:i/>
          <w:lang w:eastAsia="en-US"/>
        </w:rPr>
        <w:t xml:space="preserve">Contemporary Critical Perspectives in Education. </w:t>
      </w:r>
      <w:r w:rsidRPr="00FE67E8">
        <w:rPr>
          <w:rFonts w:ascii="Arial" w:eastAsia="Calibri" w:hAnsi="Arial" w:cs="Arial"/>
          <w:lang w:eastAsia="en-US"/>
        </w:rPr>
        <w:t>New York, USA: St. Martin’s Press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Bridges, D. and Jonathan, R. (2003). ‘Education and the market place.’ In R. Smith, P. </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Bruckerhoff, C. E. (1994). School Routines and the Failure of Curriculum Reform. In R. A. Martusewicz and W. M. Reynolds, (Eds.), </w:t>
      </w:r>
      <w:r w:rsidRPr="00FE67E8">
        <w:rPr>
          <w:rFonts w:ascii="Arial" w:eastAsia="Calibri" w:hAnsi="Arial" w:cs="Arial"/>
          <w:i/>
          <w:lang w:eastAsia="en-US"/>
        </w:rPr>
        <w:t xml:space="preserve">Contemporary Critical Perspectives in Education. </w:t>
      </w:r>
      <w:r w:rsidRPr="00FE67E8">
        <w:rPr>
          <w:rFonts w:ascii="Arial" w:eastAsia="Calibri" w:hAnsi="Arial" w:cs="Arial"/>
          <w:lang w:eastAsia="en-US"/>
        </w:rPr>
        <w:t>New York, USA: St. Martin’s Press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Chomsky, N. (1995). </w:t>
      </w:r>
      <w:r w:rsidRPr="00FE67E8">
        <w:rPr>
          <w:rFonts w:ascii="Arial" w:eastAsia="Calibri" w:hAnsi="Arial" w:cs="Arial"/>
          <w:i/>
          <w:lang w:eastAsia="en-US"/>
        </w:rPr>
        <w:t xml:space="preserve">‘A dialogue with Noam Chomsky.’ </w:t>
      </w:r>
      <w:r w:rsidRPr="00FE67E8">
        <w:rPr>
          <w:rFonts w:ascii="Arial" w:eastAsia="Calibri" w:hAnsi="Arial" w:cs="Arial"/>
          <w:lang w:eastAsia="en-US"/>
        </w:rPr>
        <w:t>Harvard Educational Review, 65, 127-144.</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Colclough, C. (1991). Who Should Learn to Pay? An Assessment of Neo-liberal Approaches to Education Policy. In C. Colclough and J. Manor, (Eds.), </w:t>
      </w:r>
      <w:r w:rsidRPr="00FE67E8">
        <w:rPr>
          <w:rFonts w:ascii="Arial" w:eastAsia="Calibri" w:hAnsi="Arial" w:cs="Arial"/>
          <w:i/>
          <w:lang w:eastAsia="en-US"/>
        </w:rPr>
        <w:t xml:space="preserve">States or Markets? Neo-liberalism and the Development of Policy Debate. </w:t>
      </w:r>
      <w:r w:rsidRPr="00FE67E8">
        <w:rPr>
          <w:rFonts w:ascii="Arial" w:eastAsia="Calibri" w:hAnsi="Arial" w:cs="Arial"/>
          <w:lang w:eastAsia="en-US"/>
        </w:rPr>
        <w:t>Oxford, England: Oxford University Press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Dardot, P. &amp; Laval, C. (2009). </w:t>
      </w:r>
      <w:r w:rsidRPr="00FE67E8">
        <w:rPr>
          <w:rFonts w:ascii="Arial" w:eastAsia="Calibri" w:hAnsi="Arial" w:cs="Arial"/>
          <w:i/>
          <w:lang w:eastAsia="en-US"/>
        </w:rPr>
        <w:t>The New Way of the World: On Neoliberal Society.</w:t>
      </w:r>
      <w:r w:rsidRPr="00FE67E8">
        <w:rPr>
          <w:rFonts w:ascii="Arial" w:eastAsia="Calibri" w:hAnsi="Arial" w:cs="Arial"/>
          <w:lang w:eastAsia="en-US"/>
        </w:rPr>
        <w:t xml:space="preserve"> London, England: Verso</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Donzelot, J. (1984). </w:t>
      </w:r>
      <w:r w:rsidRPr="00FE67E8">
        <w:rPr>
          <w:rFonts w:ascii="Arial" w:eastAsia="Calibri" w:hAnsi="Arial" w:cs="Arial"/>
          <w:i/>
          <w:lang w:eastAsia="en-US"/>
        </w:rPr>
        <w:t xml:space="preserve">L’intevention du social. </w:t>
      </w:r>
      <w:r w:rsidRPr="00FE67E8">
        <w:rPr>
          <w:rFonts w:ascii="Arial" w:eastAsia="Calibri" w:hAnsi="Arial" w:cs="Arial"/>
          <w:lang w:eastAsia="en-US"/>
        </w:rPr>
        <w:t>Paris, France: Fayard</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Ellsworth, E. (1994). Representation, Self-Representation, and the Meanings of Difference: Questions for Educators. In R. A. Martusewicz and W. M. Reynolds, (Eds.), </w:t>
      </w:r>
      <w:r w:rsidRPr="00FE67E8">
        <w:rPr>
          <w:rFonts w:ascii="Arial" w:eastAsia="Calibri" w:hAnsi="Arial" w:cs="Arial"/>
          <w:i/>
          <w:lang w:eastAsia="en-US"/>
        </w:rPr>
        <w:t xml:space="preserve">Contemporary Critical Perspectives in Education. </w:t>
      </w:r>
      <w:r w:rsidRPr="00FE67E8">
        <w:rPr>
          <w:rFonts w:ascii="Arial" w:eastAsia="Calibri" w:hAnsi="Arial" w:cs="Arial"/>
          <w:lang w:eastAsia="en-US"/>
        </w:rPr>
        <w:t>New York, USA: St. Martin’s Press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Friere, P. (1970). </w:t>
      </w:r>
      <w:r w:rsidRPr="00FE67E8">
        <w:rPr>
          <w:rFonts w:ascii="Arial" w:eastAsia="Calibri" w:hAnsi="Arial" w:cs="Arial"/>
          <w:i/>
          <w:lang w:eastAsia="en-US"/>
        </w:rPr>
        <w:t xml:space="preserve">Pedagogy of the Oppressed. </w:t>
      </w:r>
      <w:r w:rsidRPr="00FE67E8">
        <w:rPr>
          <w:rFonts w:ascii="Arial" w:eastAsia="Calibri" w:hAnsi="Arial" w:cs="Arial"/>
          <w:lang w:eastAsia="en-US"/>
        </w:rPr>
        <w:t>London, England: Penguin</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Giroux, H. A. and McLaren, P. (1996). Teacher Education and the Politics of Engagement: The Case for Democratic Schooling. In P. Leistyna, A. Woodrum&amp; S. A. Sherblom, (Eds.), </w:t>
      </w:r>
      <w:r w:rsidRPr="00FE67E8">
        <w:rPr>
          <w:rFonts w:ascii="Arial" w:eastAsia="Calibri" w:hAnsi="Arial" w:cs="Arial"/>
          <w:i/>
          <w:lang w:eastAsia="en-US"/>
        </w:rPr>
        <w:t xml:space="preserve">Breaking Free: The Transformative Power of Critical Pedagogy. </w:t>
      </w:r>
      <w:r w:rsidRPr="00FE67E8">
        <w:rPr>
          <w:rFonts w:ascii="Arial" w:eastAsia="Calibri" w:hAnsi="Arial" w:cs="Arial"/>
          <w:lang w:eastAsia="en-US"/>
        </w:rPr>
        <w:t>Cambridge, USA: Harvard Educational Review</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Giroux, H. A., &amp; Giroux, S. S. (2006). Challenging neoliberalism’s New World Order: The promise of critical pedagogy. </w:t>
      </w:r>
      <w:r w:rsidRPr="00FE67E8">
        <w:rPr>
          <w:rFonts w:ascii="Arial" w:eastAsia="Calibri" w:hAnsi="Arial" w:cs="Arial"/>
          <w:i/>
          <w:lang w:eastAsia="en-US"/>
        </w:rPr>
        <w:t>Cultural Studies – Critical Methodologies</w:t>
      </w:r>
      <w:r w:rsidRPr="00FE67E8">
        <w:rPr>
          <w:rFonts w:ascii="Arial" w:eastAsia="Calibri" w:hAnsi="Arial" w:cs="Arial"/>
          <w:lang w:eastAsia="en-US"/>
        </w:rPr>
        <w:t>, 6(1), 21-32.</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Giroux, H. A. (2011). </w:t>
      </w:r>
      <w:r w:rsidRPr="00FE67E8">
        <w:rPr>
          <w:rFonts w:ascii="Arial" w:eastAsia="Calibri" w:hAnsi="Arial" w:cs="Arial"/>
          <w:i/>
          <w:lang w:eastAsia="en-US"/>
        </w:rPr>
        <w:t xml:space="preserve">On Critical Pedagogy. </w:t>
      </w:r>
      <w:r w:rsidRPr="00FE67E8">
        <w:rPr>
          <w:rFonts w:ascii="Arial" w:eastAsia="Calibri" w:hAnsi="Arial" w:cs="Arial"/>
          <w:lang w:eastAsia="en-US"/>
        </w:rPr>
        <w:t>London, England: Continuum</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Gore, J. M. (1994). Enticing Challenges: An Introduction to Foucault and Educational Discourses. In R. A. Martusewicz and W. M. Reynolds, (Eds.), </w:t>
      </w:r>
      <w:r w:rsidRPr="00FE67E8">
        <w:rPr>
          <w:rFonts w:ascii="Arial" w:eastAsia="Calibri" w:hAnsi="Arial" w:cs="Arial"/>
          <w:i/>
          <w:lang w:eastAsia="en-US"/>
        </w:rPr>
        <w:t xml:space="preserve">Contemporary Critical Perspectives in Education. </w:t>
      </w:r>
      <w:r w:rsidRPr="00FE67E8">
        <w:rPr>
          <w:rFonts w:ascii="Arial" w:eastAsia="Calibri" w:hAnsi="Arial" w:cs="Arial"/>
          <w:lang w:eastAsia="en-US"/>
        </w:rPr>
        <w:t>New York, USA: St. Martin’s Press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Hall, S. (1988). </w:t>
      </w:r>
      <w:r w:rsidRPr="00FE67E8">
        <w:rPr>
          <w:rFonts w:ascii="Arial" w:eastAsia="Calibri" w:hAnsi="Arial" w:cs="Arial"/>
          <w:i/>
          <w:lang w:eastAsia="en-US"/>
        </w:rPr>
        <w:t xml:space="preserve">The hard road to renewal. </w:t>
      </w:r>
      <w:r w:rsidRPr="00FE67E8">
        <w:rPr>
          <w:rFonts w:ascii="Arial" w:eastAsia="Calibri" w:hAnsi="Arial" w:cs="Arial"/>
          <w:lang w:eastAsia="en-US"/>
        </w:rPr>
        <w:t>London, England: Verso</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Harris, S. (2007). </w:t>
      </w:r>
      <w:r w:rsidRPr="00FE67E8">
        <w:rPr>
          <w:rFonts w:ascii="Arial" w:eastAsia="Calibri" w:hAnsi="Arial" w:cs="Arial"/>
          <w:i/>
          <w:lang w:eastAsia="en-US"/>
        </w:rPr>
        <w:t xml:space="preserve">The Governance of Education: How neo-liberalism is transforming policy and practice. </w:t>
      </w:r>
      <w:r w:rsidRPr="00FE67E8">
        <w:rPr>
          <w:rFonts w:ascii="Arial" w:eastAsia="Calibri" w:hAnsi="Arial" w:cs="Arial"/>
          <w:lang w:eastAsia="en-US"/>
        </w:rPr>
        <w:t>London, England: Continuum</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Hayek, F. A. (1949). </w:t>
      </w:r>
      <w:r w:rsidRPr="00FE67E8">
        <w:rPr>
          <w:rFonts w:ascii="Arial" w:eastAsia="Calibri" w:hAnsi="Arial" w:cs="Arial"/>
          <w:i/>
          <w:lang w:eastAsia="en-US"/>
        </w:rPr>
        <w:t xml:space="preserve">Individualism and Economic Order. </w:t>
      </w:r>
      <w:r w:rsidRPr="00FE67E8">
        <w:rPr>
          <w:rFonts w:ascii="Arial" w:eastAsia="Calibri" w:hAnsi="Arial" w:cs="Arial"/>
          <w:lang w:eastAsia="en-US"/>
        </w:rPr>
        <w:t>London, England: Routledge</w:t>
      </w:r>
    </w:p>
    <w:p w:rsidR="00FE67E8" w:rsidRPr="00FE67E8" w:rsidRDefault="00FE67E8" w:rsidP="00FE67E8">
      <w:pPr>
        <w:spacing w:after="160" w:line="259" w:lineRule="auto"/>
        <w:rPr>
          <w:rFonts w:ascii="Arial" w:eastAsia="Calibri" w:hAnsi="Arial" w:cs="Arial"/>
          <w:sz w:val="24"/>
          <w:lang w:eastAsia="en-US"/>
        </w:rPr>
      </w:pPr>
      <w:r w:rsidRPr="00FE67E8">
        <w:rPr>
          <w:rFonts w:ascii="Arial" w:eastAsia="Calibri" w:hAnsi="Arial" w:cs="Arial"/>
          <w:color w:val="222222"/>
          <w:szCs w:val="20"/>
          <w:shd w:val="clear" w:color="auto" w:fill="FFFFFF"/>
          <w:lang w:eastAsia="en-US"/>
        </w:rPr>
        <w:t>Hirsch Jr, E. D. (1993). The Core Knowledge Curriculum--What's behind Its Success? </w:t>
      </w:r>
      <w:r w:rsidRPr="00FE67E8">
        <w:rPr>
          <w:rFonts w:ascii="Arial" w:eastAsia="Calibri" w:hAnsi="Arial" w:cs="Arial"/>
          <w:i/>
          <w:iCs/>
          <w:color w:val="222222"/>
          <w:szCs w:val="20"/>
          <w:shd w:val="clear" w:color="auto" w:fill="FFFFFF"/>
          <w:lang w:eastAsia="en-US"/>
        </w:rPr>
        <w:t>Educational Leadership</w:t>
      </w:r>
      <w:r w:rsidRPr="00FE67E8">
        <w:rPr>
          <w:rFonts w:ascii="Arial" w:eastAsia="Calibri" w:hAnsi="Arial" w:cs="Arial"/>
          <w:color w:val="222222"/>
          <w:szCs w:val="20"/>
          <w:shd w:val="clear" w:color="auto" w:fill="FFFFFF"/>
          <w:lang w:eastAsia="en-US"/>
        </w:rPr>
        <w:t>, </w:t>
      </w:r>
      <w:r w:rsidRPr="00FE67E8">
        <w:rPr>
          <w:rFonts w:ascii="Arial" w:eastAsia="Calibri" w:hAnsi="Arial" w:cs="Arial"/>
          <w:iCs/>
          <w:color w:val="222222"/>
          <w:szCs w:val="20"/>
          <w:shd w:val="clear" w:color="auto" w:fill="FFFFFF"/>
          <w:lang w:eastAsia="en-US"/>
        </w:rPr>
        <w:t>50</w:t>
      </w:r>
      <w:r w:rsidRPr="00FE67E8">
        <w:rPr>
          <w:rFonts w:ascii="Arial" w:eastAsia="Calibri" w:hAnsi="Arial" w:cs="Arial"/>
          <w:color w:val="222222"/>
          <w:szCs w:val="20"/>
          <w:shd w:val="clear" w:color="auto" w:fill="FFFFFF"/>
          <w:lang w:eastAsia="en-US"/>
        </w:rPr>
        <w:t xml:space="preserve">(8), 23-25. </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lastRenderedPageBreak/>
        <w:t xml:space="preserve">Jarvis, M. (2005). </w:t>
      </w:r>
      <w:r w:rsidRPr="00FE67E8">
        <w:rPr>
          <w:rFonts w:ascii="Arial" w:eastAsia="Calibri" w:hAnsi="Arial" w:cs="Arial"/>
          <w:i/>
          <w:lang w:eastAsia="en-US"/>
        </w:rPr>
        <w:t xml:space="preserve">The psychology of effective learning and teaching. </w:t>
      </w:r>
      <w:r w:rsidRPr="00FE67E8">
        <w:rPr>
          <w:rFonts w:ascii="Arial" w:eastAsia="Calibri" w:hAnsi="Arial" w:cs="Arial"/>
          <w:lang w:eastAsia="en-US"/>
        </w:rPr>
        <w:t>Cheltenham, England: Nelson Thornes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Kascák, O., &amp;Pupala, B. (2011). Governmentality - neoliberalism - education: The risk perspective.</w:t>
      </w:r>
      <w:r w:rsidRPr="00FE67E8">
        <w:rPr>
          <w:rFonts w:ascii="Arial" w:eastAsia="Calibri" w:hAnsi="Arial" w:cs="Arial"/>
          <w:i/>
          <w:iCs/>
          <w:lang w:eastAsia="en-US"/>
        </w:rPr>
        <w:t> Journal of Pedagogy, 2</w:t>
      </w:r>
      <w:r w:rsidRPr="00FE67E8">
        <w:rPr>
          <w:rFonts w:ascii="Arial" w:eastAsia="Calibri" w:hAnsi="Arial" w:cs="Arial"/>
          <w:lang w:eastAsia="en-US"/>
        </w:rPr>
        <w:t>(2). DOI:http://dx.doi.org/10.2478/v10159-011-0007-z</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Kellner, D. (2000). Multiple Literacies and Critical Pedagogies: New Paradigms. In P. P. Trifonas, (ed.), </w:t>
      </w:r>
      <w:r w:rsidRPr="00FE67E8">
        <w:rPr>
          <w:rFonts w:ascii="Arial" w:eastAsia="Calibri" w:hAnsi="Arial" w:cs="Arial"/>
          <w:i/>
          <w:lang w:eastAsia="en-US"/>
        </w:rPr>
        <w:t xml:space="preserve">Revolutionary Pedagogies: Cultural Politics, Instituting Education, and the Discourse of Theory. </w:t>
      </w:r>
      <w:r w:rsidRPr="00FE67E8">
        <w:rPr>
          <w:rFonts w:ascii="Arial" w:eastAsia="Calibri" w:hAnsi="Arial" w:cs="Arial"/>
          <w:lang w:eastAsia="en-US"/>
        </w:rPr>
        <w:t>London, England: Routledge Falmer</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Leistyna, P. and Woodrum, A. (1996). Context and Culture: What is Critical Pedagogy? In P. Leistyna, A. Woodrum&amp; S. A. Sherblom, (Eds.), </w:t>
      </w:r>
      <w:r w:rsidRPr="00FE67E8">
        <w:rPr>
          <w:rFonts w:ascii="Arial" w:eastAsia="Calibri" w:hAnsi="Arial" w:cs="Arial"/>
          <w:i/>
          <w:lang w:eastAsia="en-US"/>
        </w:rPr>
        <w:t xml:space="preserve">Breaking Free: The Transformative Power of Critical Pedagogy. </w:t>
      </w:r>
      <w:r w:rsidRPr="00FE67E8">
        <w:rPr>
          <w:rFonts w:ascii="Arial" w:eastAsia="Calibri" w:hAnsi="Arial" w:cs="Arial"/>
          <w:lang w:eastAsia="en-US"/>
        </w:rPr>
        <w:t>Cambridge, USA: Harvard Educational Review</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Lyotard, J. F. (1984). </w:t>
      </w:r>
      <w:r w:rsidRPr="00FE67E8">
        <w:rPr>
          <w:rFonts w:ascii="Arial" w:eastAsia="Calibri" w:hAnsi="Arial" w:cs="Arial"/>
          <w:i/>
          <w:lang w:eastAsia="en-US"/>
        </w:rPr>
        <w:t xml:space="preserve">The Postmodern Condition: A Report on Knowledge. </w:t>
      </w:r>
      <w:r w:rsidRPr="00FE67E8">
        <w:rPr>
          <w:rFonts w:ascii="Arial" w:eastAsia="Calibri" w:hAnsi="Arial" w:cs="Arial"/>
          <w:lang w:eastAsia="en-US"/>
        </w:rPr>
        <w:t>Manchester, England: Manchester University Press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Marginson, S. (1997). </w:t>
      </w:r>
      <w:r w:rsidRPr="00FE67E8">
        <w:rPr>
          <w:rFonts w:ascii="Arial" w:eastAsia="Calibri" w:hAnsi="Arial" w:cs="Arial"/>
          <w:i/>
          <w:lang w:eastAsia="en-US"/>
        </w:rPr>
        <w:t xml:space="preserve">Markets in Education. </w:t>
      </w:r>
      <w:r w:rsidRPr="00FE67E8">
        <w:rPr>
          <w:rFonts w:ascii="Arial" w:eastAsia="Calibri" w:hAnsi="Arial" w:cs="Arial"/>
          <w:lang w:eastAsia="en-US"/>
        </w:rPr>
        <w:t>Sydney, Australia: Allen and Unwin</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Oxford English Dictionary. (2014). </w:t>
      </w:r>
      <w:r w:rsidRPr="00FE67E8">
        <w:rPr>
          <w:rFonts w:ascii="Arial" w:eastAsia="Calibri" w:hAnsi="Arial" w:cs="Arial"/>
          <w:i/>
          <w:lang w:eastAsia="en-US"/>
        </w:rPr>
        <w:t xml:space="preserve">Definition of culture. </w:t>
      </w:r>
      <w:r w:rsidRPr="00FE67E8">
        <w:rPr>
          <w:rFonts w:ascii="Arial" w:eastAsia="Calibri" w:hAnsi="Arial" w:cs="Arial"/>
          <w:lang w:eastAsia="en-US"/>
        </w:rPr>
        <w:t>Retrieved from: http://www.oxforddictionaries.com/definition/english/culture</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Oxford English Dictionary. (2014). </w:t>
      </w:r>
      <w:r w:rsidRPr="00FE67E8">
        <w:rPr>
          <w:rFonts w:ascii="Arial" w:eastAsia="Calibri" w:hAnsi="Arial" w:cs="Arial"/>
          <w:i/>
          <w:lang w:eastAsia="en-US"/>
        </w:rPr>
        <w:t xml:space="preserve">Definition of functionalism. </w:t>
      </w:r>
      <w:r w:rsidRPr="00FE67E8">
        <w:rPr>
          <w:rFonts w:ascii="Arial" w:eastAsia="Calibri" w:hAnsi="Arial" w:cs="Arial"/>
          <w:lang w:eastAsia="en-US"/>
        </w:rPr>
        <w:t>Retrieved from: http://www.oxforddictionaries.com/definition/english/functionalism</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Portelli, J. P., &amp;Konecny, C. P. (2013). Neoliberalism, subversion and democracy in education.</w:t>
      </w:r>
      <w:r w:rsidRPr="00FE67E8">
        <w:rPr>
          <w:rFonts w:ascii="Arial" w:eastAsia="Calibri" w:hAnsi="Arial" w:cs="Arial"/>
          <w:i/>
          <w:iCs/>
          <w:lang w:eastAsia="en-US"/>
        </w:rPr>
        <w:t> Encounters on Education, 14</w:t>
      </w:r>
      <w:r w:rsidRPr="00FE67E8">
        <w:rPr>
          <w:rFonts w:ascii="Arial" w:eastAsia="Calibri" w:hAnsi="Arial" w:cs="Arial"/>
          <w:lang w:eastAsia="en-US"/>
        </w:rPr>
        <w:t>, 87-97. Retrieved from http://search.proquest.com/docview/1496953663?accountid=13828</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Reynolds, W. M. and Martusewicz, R. A. (1994). The Practice of Freedom: A Historical Analysis of Critical Perspectives in the Social Foundations. In R. A. Martusewicz and W. M. Reynolds, (Eds.), </w:t>
      </w:r>
      <w:r w:rsidRPr="00FE67E8">
        <w:rPr>
          <w:rFonts w:ascii="Arial" w:eastAsia="Calibri" w:hAnsi="Arial" w:cs="Arial"/>
          <w:i/>
          <w:lang w:eastAsia="en-US"/>
        </w:rPr>
        <w:t xml:space="preserve">Contemporary Critical Perspectives in Education. </w:t>
      </w:r>
      <w:r w:rsidRPr="00FE67E8">
        <w:rPr>
          <w:rFonts w:ascii="Arial" w:eastAsia="Calibri" w:hAnsi="Arial" w:cs="Arial"/>
          <w:lang w:eastAsia="en-US"/>
        </w:rPr>
        <w:t>New York, USA: St. Martin’s Press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Sampson, E.E. (1988). The debate on individualism: Indigenous psychologies of the individual and their role in personal and societal functioning. </w:t>
      </w:r>
      <w:r w:rsidRPr="00FE67E8">
        <w:rPr>
          <w:rFonts w:ascii="Arial" w:eastAsia="Calibri" w:hAnsi="Arial" w:cs="Arial"/>
          <w:i/>
          <w:lang w:eastAsia="en-US"/>
        </w:rPr>
        <w:t xml:space="preserve">American Psychologist, </w:t>
      </w:r>
      <w:r w:rsidRPr="00FE67E8">
        <w:rPr>
          <w:rFonts w:ascii="Arial" w:eastAsia="Calibri" w:hAnsi="Arial" w:cs="Arial"/>
          <w:lang w:eastAsia="en-US"/>
        </w:rPr>
        <w:t xml:space="preserve">43 (1), 21-33. </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Slaughter, S. &amp; Rhoades, G. (2004). </w:t>
      </w:r>
      <w:r w:rsidRPr="00FE67E8">
        <w:rPr>
          <w:rFonts w:ascii="Arial" w:eastAsia="Calibri" w:hAnsi="Arial" w:cs="Arial"/>
          <w:i/>
          <w:lang w:eastAsia="en-US"/>
        </w:rPr>
        <w:t xml:space="preserve">Academic Capitalism and the New Economy. </w:t>
      </w:r>
      <w:r w:rsidRPr="00FE67E8">
        <w:rPr>
          <w:rFonts w:ascii="Arial" w:eastAsia="Calibri" w:hAnsi="Arial" w:cs="Arial"/>
          <w:lang w:eastAsia="en-US"/>
        </w:rPr>
        <w:t>Baltimore, USA: Johns Hopkins University Press</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Smyth, J. (2001). </w:t>
      </w:r>
      <w:r w:rsidRPr="00FE67E8">
        <w:rPr>
          <w:rFonts w:ascii="Arial" w:eastAsia="Calibri" w:hAnsi="Arial" w:cs="Arial"/>
          <w:i/>
          <w:lang w:eastAsia="en-US"/>
        </w:rPr>
        <w:t xml:space="preserve">Critical Politics of Teachers’ Work: An Australian Perspective. </w:t>
      </w:r>
      <w:r w:rsidRPr="00FE67E8">
        <w:rPr>
          <w:rFonts w:ascii="Arial" w:eastAsia="Calibri" w:hAnsi="Arial" w:cs="Arial"/>
          <w:lang w:eastAsia="en-US"/>
        </w:rPr>
        <w:t>New York, USA: Peter Lang Publishing</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Standish, N. Blake and P. Smeyers, (Eds). </w:t>
      </w:r>
      <w:r w:rsidRPr="00FE67E8">
        <w:rPr>
          <w:rFonts w:ascii="Arial" w:eastAsia="Calibri" w:hAnsi="Arial" w:cs="Arial"/>
          <w:i/>
          <w:lang w:eastAsia="en-US"/>
        </w:rPr>
        <w:t xml:space="preserve">The Blackwell Guide to the Philosophy of Education. </w:t>
      </w:r>
      <w:r w:rsidRPr="00FE67E8">
        <w:rPr>
          <w:rFonts w:ascii="Arial" w:eastAsia="Calibri" w:hAnsi="Arial" w:cs="Arial"/>
          <w:lang w:eastAsia="en-US"/>
        </w:rPr>
        <w:t>Oxford, England: Blackwell</w:t>
      </w:r>
    </w:p>
    <w:p w:rsidR="00FE67E8" w:rsidRPr="00FE67E8" w:rsidRDefault="00FE67E8" w:rsidP="00FE67E8">
      <w:pPr>
        <w:spacing w:after="160" w:line="259" w:lineRule="auto"/>
        <w:rPr>
          <w:rFonts w:ascii="Arial" w:eastAsia="Calibri" w:hAnsi="Arial" w:cs="Arial"/>
          <w:lang w:eastAsia="en-US"/>
        </w:rPr>
      </w:pPr>
      <w:r w:rsidRPr="00FE67E8">
        <w:rPr>
          <w:rFonts w:ascii="Arial" w:eastAsia="Calibri" w:hAnsi="Arial" w:cs="Arial"/>
          <w:lang w:eastAsia="en-US"/>
        </w:rPr>
        <w:t xml:space="preserve">Turner, R. S. (2008). </w:t>
      </w:r>
      <w:r w:rsidRPr="00FE67E8">
        <w:rPr>
          <w:rFonts w:ascii="Arial" w:eastAsia="Calibri" w:hAnsi="Arial" w:cs="Arial"/>
          <w:i/>
          <w:lang w:eastAsia="en-US"/>
        </w:rPr>
        <w:t xml:space="preserve">Neo-Liberal Ideology: History, Concepts and Policies. </w:t>
      </w:r>
      <w:r w:rsidRPr="00FE67E8">
        <w:rPr>
          <w:rFonts w:ascii="Arial" w:eastAsia="Calibri" w:hAnsi="Arial" w:cs="Arial"/>
          <w:lang w:eastAsia="en-US"/>
        </w:rPr>
        <w:t>Norfolk, England: Edinburgh University Press</w:t>
      </w:r>
    </w:p>
    <w:p w:rsidR="00FE67E8" w:rsidRPr="00FE67E8" w:rsidRDefault="00FE67E8" w:rsidP="00FE67E8">
      <w:pPr>
        <w:spacing w:after="160" w:line="259" w:lineRule="auto"/>
        <w:rPr>
          <w:rFonts w:ascii="Arial" w:eastAsia="Calibri" w:hAnsi="Arial" w:cs="Arial"/>
          <w:u w:val="single"/>
          <w:lang w:eastAsia="en-US"/>
        </w:rPr>
      </w:pPr>
    </w:p>
    <w:p w:rsidR="00FE67E8" w:rsidRPr="00FE67E8" w:rsidRDefault="00FE67E8" w:rsidP="00FE67E8">
      <w:pPr>
        <w:spacing w:after="160" w:line="259" w:lineRule="auto"/>
        <w:rPr>
          <w:rFonts w:ascii="Arial" w:eastAsia="Calibri" w:hAnsi="Arial" w:cs="Arial"/>
          <w:lang w:eastAsia="en-US"/>
        </w:rPr>
      </w:pPr>
    </w:p>
    <w:p w:rsidR="00FE67E8" w:rsidRPr="00FE67E8" w:rsidRDefault="00FE67E8" w:rsidP="00FE67E8">
      <w:pPr>
        <w:spacing w:after="160" w:line="259" w:lineRule="auto"/>
        <w:rPr>
          <w:rFonts w:ascii="Arial" w:eastAsia="Calibri" w:hAnsi="Arial" w:cs="Arial"/>
          <w:lang w:eastAsia="en-US"/>
        </w:rPr>
      </w:pPr>
    </w:p>
    <w:p w:rsidR="00FE67E8" w:rsidRPr="00FE67E8" w:rsidRDefault="00FE67E8" w:rsidP="00FE67E8">
      <w:pPr>
        <w:spacing w:after="160" w:line="259" w:lineRule="auto"/>
        <w:rPr>
          <w:rFonts w:ascii="Arial" w:eastAsia="Calibri" w:hAnsi="Arial" w:cs="Arial"/>
          <w:lang w:eastAsia="en-US"/>
        </w:rPr>
      </w:pPr>
    </w:p>
    <w:p w:rsidR="00FE67E8" w:rsidRPr="00FE67E8" w:rsidRDefault="00FE67E8" w:rsidP="00FE67E8">
      <w:pPr>
        <w:spacing w:after="160" w:line="259" w:lineRule="auto"/>
        <w:rPr>
          <w:rFonts w:ascii="Arial" w:eastAsia="Calibri" w:hAnsi="Arial" w:cs="Arial"/>
          <w:lang w:eastAsia="en-US"/>
        </w:rPr>
      </w:pPr>
    </w:p>
    <w:p w:rsidR="00FE67E8" w:rsidRPr="00FE67E8" w:rsidRDefault="00FE67E8" w:rsidP="00FE67E8">
      <w:pPr>
        <w:spacing w:after="160" w:line="259" w:lineRule="auto"/>
        <w:rPr>
          <w:rFonts w:ascii="Arial" w:eastAsia="Calibri" w:hAnsi="Arial" w:cs="Arial"/>
          <w:lang w:eastAsia="en-US"/>
        </w:rPr>
      </w:pPr>
    </w:p>
    <w:p w:rsidR="00FE67E8" w:rsidRPr="00FE67E8" w:rsidRDefault="00FE67E8" w:rsidP="00FE67E8">
      <w:pPr>
        <w:spacing w:after="160" w:line="259" w:lineRule="auto"/>
        <w:rPr>
          <w:rFonts w:ascii="Arial" w:eastAsia="Calibri" w:hAnsi="Arial" w:cs="Arial"/>
          <w:u w:val="single"/>
          <w:lang w:eastAsia="en-US"/>
        </w:rPr>
      </w:pPr>
    </w:p>
    <w:p w:rsidR="00FE67E8" w:rsidRPr="00FE67E8" w:rsidRDefault="00FE67E8" w:rsidP="00FE67E8">
      <w:pPr>
        <w:spacing w:after="160" w:line="259" w:lineRule="auto"/>
        <w:rPr>
          <w:rFonts w:ascii="Arial" w:eastAsia="Calibri" w:hAnsi="Arial" w:cs="Arial"/>
          <w:lang w:eastAsia="en-US"/>
        </w:rPr>
      </w:pPr>
    </w:p>
    <w:p w:rsidR="00FE67E8" w:rsidRPr="00FE67E8" w:rsidRDefault="00FE67E8" w:rsidP="00FE67E8">
      <w:pPr>
        <w:spacing w:after="160" w:line="259" w:lineRule="auto"/>
        <w:rPr>
          <w:rFonts w:ascii="Arial" w:eastAsia="Calibri" w:hAnsi="Arial" w:cs="Arial"/>
          <w:lang w:eastAsia="en-US"/>
        </w:rPr>
      </w:pPr>
    </w:p>
    <w:p w:rsidR="00AB3695" w:rsidRDefault="00AB3695" w:rsidP="00315A99">
      <w:pPr>
        <w:tabs>
          <w:tab w:val="left" w:pos="2070"/>
          <w:tab w:val="left" w:pos="5220"/>
          <w:tab w:val="left" w:pos="7560"/>
          <w:tab w:val="left" w:pos="9810"/>
        </w:tabs>
        <w:spacing w:after="0" w:line="240" w:lineRule="auto"/>
        <w:rPr>
          <w:rFonts w:ascii="Arial" w:hAnsi="Arial" w:cs="Arial"/>
          <w:sz w:val="20"/>
          <w:szCs w:val="20"/>
        </w:rPr>
      </w:pPr>
    </w:p>
    <w:p w:rsidR="00B67A29" w:rsidRPr="00AF23D5" w:rsidRDefault="00B67A29" w:rsidP="00315A99">
      <w:pPr>
        <w:tabs>
          <w:tab w:val="left" w:pos="2070"/>
          <w:tab w:val="left" w:pos="5220"/>
          <w:tab w:val="left" w:pos="7560"/>
          <w:tab w:val="left" w:pos="9810"/>
        </w:tabs>
        <w:spacing w:after="0" w:line="240" w:lineRule="auto"/>
        <w:rPr>
          <w:rFonts w:ascii="Arial" w:hAnsi="Arial" w:cs="Arial"/>
          <w:sz w:val="20"/>
          <w:szCs w:val="20"/>
        </w:rPr>
      </w:pPr>
      <w:bookmarkStart w:id="0" w:name="_GoBack"/>
      <w:bookmarkEnd w:id="0"/>
    </w:p>
    <w:sectPr w:rsidR="00B67A29" w:rsidRPr="00AF23D5" w:rsidSect="008925B9">
      <w:footerReference w:type="default" r:id="rId7"/>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92A" w:rsidRDefault="0026592A" w:rsidP="002304EB">
      <w:pPr>
        <w:spacing w:after="0" w:line="240" w:lineRule="auto"/>
      </w:pPr>
      <w:r>
        <w:separator/>
      </w:r>
    </w:p>
  </w:endnote>
  <w:endnote w:type="continuationSeparator" w:id="1">
    <w:p w:rsidR="0026592A" w:rsidRDefault="0026592A" w:rsidP="00230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979507"/>
      <w:docPartObj>
        <w:docPartGallery w:val="Page Numbers (Bottom of Page)"/>
        <w:docPartUnique/>
      </w:docPartObj>
    </w:sdtPr>
    <w:sdtEndPr>
      <w:rPr>
        <w:noProof/>
      </w:rPr>
    </w:sdtEndPr>
    <w:sdtContent>
      <w:p w:rsidR="0094711E" w:rsidRDefault="00AB0CCD">
        <w:pPr>
          <w:pStyle w:val="Footer"/>
          <w:jc w:val="right"/>
        </w:pPr>
        <w:r>
          <w:fldChar w:fldCharType="begin"/>
        </w:r>
        <w:r w:rsidR="0094711E">
          <w:instrText xml:space="preserve"> PAGE   \* MERGEFORMAT </w:instrText>
        </w:r>
        <w:r>
          <w:fldChar w:fldCharType="separate"/>
        </w:r>
        <w:r w:rsidR="000B279F">
          <w:rPr>
            <w:noProof/>
          </w:rPr>
          <w:t>7</w:t>
        </w:r>
        <w:r>
          <w:rPr>
            <w:noProof/>
          </w:rPr>
          <w:fldChar w:fldCharType="end"/>
        </w:r>
      </w:p>
    </w:sdtContent>
  </w:sdt>
  <w:p w:rsidR="0094711E" w:rsidRDefault="009471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92A" w:rsidRDefault="0026592A" w:rsidP="002304EB">
      <w:pPr>
        <w:spacing w:after="0" w:line="240" w:lineRule="auto"/>
      </w:pPr>
      <w:r>
        <w:separator/>
      </w:r>
    </w:p>
  </w:footnote>
  <w:footnote w:type="continuationSeparator" w:id="1">
    <w:p w:rsidR="0026592A" w:rsidRDefault="0026592A" w:rsidP="002304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4A168E"/>
    <w:rsid w:val="00030C94"/>
    <w:rsid w:val="000368F1"/>
    <w:rsid w:val="0004508A"/>
    <w:rsid w:val="00076E92"/>
    <w:rsid w:val="00085A8C"/>
    <w:rsid w:val="00086DF1"/>
    <w:rsid w:val="000B279F"/>
    <w:rsid w:val="000B4AF5"/>
    <w:rsid w:val="000D250E"/>
    <w:rsid w:val="000E3164"/>
    <w:rsid w:val="000E6DC1"/>
    <w:rsid w:val="0015656E"/>
    <w:rsid w:val="00161096"/>
    <w:rsid w:val="00161D5B"/>
    <w:rsid w:val="00164580"/>
    <w:rsid w:val="00164BAC"/>
    <w:rsid w:val="00170F75"/>
    <w:rsid w:val="0018204E"/>
    <w:rsid w:val="001871BD"/>
    <w:rsid w:val="001B2703"/>
    <w:rsid w:val="001F424D"/>
    <w:rsid w:val="001F5F3E"/>
    <w:rsid w:val="00207AF7"/>
    <w:rsid w:val="00224713"/>
    <w:rsid w:val="0022527F"/>
    <w:rsid w:val="002304EB"/>
    <w:rsid w:val="0026592A"/>
    <w:rsid w:val="00266402"/>
    <w:rsid w:val="0028573D"/>
    <w:rsid w:val="002A6F6C"/>
    <w:rsid w:val="002B50AF"/>
    <w:rsid w:val="002C2785"/>
    <w:rsid w:val="002E5105"/>
    <w:rsid w:val="002F0166"/>
    <w:rsid w:val="002F55EC"/>
    <w:rsid w:val="00312FA0"/>
    <w:rsid w:val="003153E1"/>
    <w:rsid w:val="00315A99"/>
    <w:rsid w:val="0032775E"/>
    <w:rsid w:val="00333ACF"/>
    <w:rsid w:val="00355C99"/>
    <w:rsid w:val="003608A3"/>
    <w:rsid w:val="003622A4"/>
    <w:rsid w:val="003A5A08"/>
    <w:rsid w:val="00405437"/>
    <w:rsid w:val="00412680"/>
    <w:rsid w:val="0042671C"/>
    <w:rsid w:val="0046185A"/>
    <w:rsid w:val="00463550"/>
    <w:rsid w:val="00490EDA"/>
    <w:rsid w:val="004A168E"/>
    <w:rsid w:val="004B4814"/>
    <w:rsid w:val="004D0D8F"/>
    <w:rsid w:val="00503352"/>
    <w:rsid w:val="005517AB"/>
    <w:rsid w:val="005737C8"/>
    <w:rsid w:val="00586BF1"/>
    <w:rsid w:val="005A4A76"/>
    <w:rsid w:val="005A6F54"/>
    <w:rsid w:val="005B1632"/>
    <w:rsid w:val="005C72CF"/>
    <w:rsid w:val="00627281"/>
    <w:rsid w:val="00631379"/>
    <w:rsid w:val="00633B91"/>
    <w:rsid w:val="006369B1"/>
    <w:rsid w:val="00656F94"/>
    <w:rsid w:val="00671B92"/>
    <w:rsid w:val="0069696B"/>
    <w:rsid w:val="006B4395"/>
    <w:rsid w:val="0074114F"/>
    <w:rsid w:val="0075557F"/>
    <w:rsid w:val="00792712"/>
    <w:rsid w:val="007C5194"/>
    <w:rsid w:val="007D0C63"/>
    <w:rsid w:val="008320C6"/>
    <w:rsid w:val="00833839"/>
    <w:rsid w:val="008566A7"/>
    <w:rsid w:val="008925B9"/>
    <w:rsid w:val="008B2DA0"/>
    <w:rsid w:val="008D3D0C"/>
    <w:rsid w:val="008E2918"/>
    <w:rsid w:val="008E51AB"/>
    <w:rsid w:val="008F1D63"/>
    <w:rsid w:val="00932272"/>
    <w:rsid w:val="0094711E"/>
    <w:rsid w:val="00955CA0"/>
    <w:rsid w:val="009773C4"/>
    <w:rsid w:val="00986A07"/>
    <w:rsid w:val="009900F4"/>
    <w:rsid w:val="009D08C2"/>
    <w:rsid w:val="009F5DD2"/>
    <w:rsid w:val="00A5079E"/>
    <w:rsid w:val="00A73C4E"/>
    <w:rsid w:val="00A91FC2"/>
    <w:rsid w:val="00A9593C"/>
    <w:rsid w:val="00AB0CCD"/>
    <w:rsid w:val="00AB3695"/>
    <w:rsid w:val="00AE58B0"/>
    <w:rsid w:val="00AF1420"/>
    <w:rsid w:val="00AF23D5"/>
    <w:rsid w:val="00B36731"/>
    <w:rsid w:val="00B642DF"/>
    <w:rsid w:val="00B67A29"/>
    <w:rsid w:val="00B77EFF"/>
    <w:rsid w:val="00B87CBC"/>
    <w:rsid w:val="00BE1B51"/>
    <w:rsid w:val="00C26D8A"/>
    <w:rsid w:val="00C4234B"/>
    <w:rsid w:val="00C50EEC"/>
    <w:rsid w:val="00C53EF3"/>
    <w:rsid w:val="00C6331F"/>
    <w:rsid w:val="00C747FA"/>
    <w:rsid w:val="00CB0F2F"/>
    <w:rsid w:val="00CC4D24"/>
    <w:rsid w:val="00CD0E5A"/>
    <w:rsid w:val="00CF2C04"/>
    <w:rsid w:val="00D054ED"/>
    <w:rsid w:val="00D12B30"/>
    <w:rsid w:val="00D17FBD"/>
    <w:rsid w:val="00D713C0"/>
    <w:rsid w:val="00D86481"/>
    <w:rsid w:val="00E31733"/>
    <w:rsid w:val="00E7158F"/>
    <w:rsid w:val="00E75F06"/>
    <w:rsid w:val="00E769A7"/>
    <w:rsid w:val="00E946A0"/>
    <w:rsid w:val="00EC7C08"/>
    <w:rsid w:val="00ED5F28"/>
    <w:rsid w:val="00EE012A"/>
    <w:rsid w:val="00EE14CA"/>
    <w:rsid w:val="00EE4F55"/>
    <w:rsid w:val="00EF3278"/>
    <w:rsid w:val="00F31619"/>
    <w:rsid w:val="00F44A3D"/>
    <w:rsid w:val="00F5014B"/>
    <w:rsid w:val="00FB610F"/>
    <w:rsid w:val="00FE0556"/>
    <w:rsid w:val="00FE67E8"/>
    <w:rsid w:val="00FF0230"/>
    <w:rsid w:val="00FF79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C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5EC"/>
    <w:rPr>
      <w:color w:val="808080"/>
    </w:rPr>
  </w:style>
  <w:style w:type="paragraph" w:styleId="BalloonText">
    <w:name w:val="Balloon Text"/>
    <w:basedOn w:val="Normal"/>
    <w:link w:val="BalloonTextChar"/>
    <w:uiPriority w:val="99"/>
    <w:semiHidden/>
    <w:unhideWhenUsed/>
    <w:rsid w:val="002F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EC"/>
    <w:rPr>
      <w:rFonts w:ascii="Tahoma" w:hAnsi="Tahoma" w:cs="Tahoma"/>
      <w:sz w:val="16"/>
      <w:szCs w:val="16"/>
    </w:rPr>
  </w:style>
  <w:style w:type="character" w:styleId="Hyperlink">
    <w:name w:val="Hyperlink"/>
    <w:basedOn w:val="DefaultParagraphFont"/>
    <w:uiPriority w:val="99"/>
    <w:unhideWhenUsed/>
    <w:rsid w:val="00D054ED"/>
    <w:rPr>
      <w:color w:val="0000FF" w:themeColor="hyperlink"/>
      <w:u w:val="single"/>
    </w:rPr>
  </w:style>
  <w:style w:type="table" w:styleId="TableGrid">
    <w:name w:val="Table Grid"/>
    <w:basedOn w:val="TableNormal"/>
    <w:uiPriority w:val="59"/>
    <w:rsid w:val="00BE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0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4EB"/>
  </w:style>
  <w:style w:type="paragraph" w:styleId="Footer">
    <w:name w:val="footer"/>
    <w:basedOn w:val="Normal"/>
    <w:link w:val="FooterChar"/>
    <w:uiPriority w:val="99"/>
    <w:unhideWhenUsed/>
    <w:rsid w:val="00230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4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55EC"/>
    <w:rPr>
      <w:color w:val="808080"/>
    </w:rPr>
  </w:style>
  <w:style w:type="paragraph" w:styleId="BalloonText">
    <w:name w:val="Balloon Text"/>
    <w:basedOn w:val="Normal"/>
    <w:link w:val="BalloonTextChar"/>
    <w:uiPriority w:val="99"/>
    <w:semiHidden/>
    <w:unhideWhenUsed/>
    <w:rsid w:val="002F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5EC"/>
    <w:rPr>
      <w:rFonts w:ascii="Tahoma" w:hAnsi="Tahoma" w:cs="Tahoma"/>
      <w:sz w:val="16"/>
      <w:szCs w:val="16"/>
    </w:rPr>
  </w:style>
  <w:style w:type="character" w:styleId="Hyperlink">
    <w:name w:val="Hyperlink"/>
    <w:basedOn w:val="DefaultParagraphFont"/>
    <w:uiPriority w:val="99"/>
    <w:unhideWhenUsed/>
    <w:rsid w:val="00D054ED"/>
    <w:rPr>
      <w:color w:val="0000FF" w:themeColor="hyperlink"/>
      <w:u w:val="single"/>
    </w:rPr>
  </w:style>
  <w:style w:type="table" w:styleId="TableGrid">
    <w:name w:val="Table Grid"/>
    <w:basedOn w:val="TableNormal"/>
    <w:uiPriority w:val="59"/>
    <w:rsid w:val="00BE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30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4EB"/>
  </w:style>
  <w:style w:type="paragraph" w:styleId="Footer">
    <w:name w:val="footer"/>
    <w:basedOn w:val="Normal"/>
    <w:link w:val="FooterChar"/>
    <w:uiPriority w:val="99"/>
    <w:unhideWhenUsed/>
    <w:rsid w:val="00230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4E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67810-CA9D-664E-8E44-14B02B7F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3082</Words>
  <Characters>17570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ed1aew</dc:creator>
  <cp:lastModifiedBy>Kyeni</cp:lastModifiedBy>
  <cp:revision>2</cp:revision>
  <cp:lastPrinted>2014-11-04T10:15:00Z</cp:lastPrinted>
  <dcterms:created xsi:type="dcterms:W3CDTF">2017-12-21T00:31:00Z</dcterms:created>
  <dcterms:modified xsi:type="dcterms:W3CDTF">2017-12-21T00:31:00Z</dcterms:modified>
</cp:coreProperties>
</file>