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C63" w:rsidRPr="00C17BF2" w:rsidRDefault="001D3C63" w:rsidP="001D3C63">
      <w:pPr>
        <w:spacing w:after="0" w:line="480" w:lineRule="auto"/>
        <w:jc w:val="center"/>
        <w:rPr>
          <w:rStyle w:val="Strong"/>
          <w:rFonts w:ascii="Times New Roman" w:eastAsiaTheme="majorEastAsia" w:hAnsi="Times New Roman" w:cs="Times New Roman"/>
          <w:b w:val="0"/>
        </w:rPr>
      </w:pPr>
      <w:bookmarkStart w:id="0" w:name="_GoBack"/>
      <w:bookmarkEnd w:id="0"/>
    </w:p>
    <w:p w:rsidR="001D3C63" w:rsidRPr="00A221A1" w:rsidRDefault="001D3C63" w:rsidP="001D3C63">
      <w:pPr>
        <w:spacing w:after="0" w:line="480" w:lineRule="auto"/>
        <w:jc w:val="center"/>
        <w:rPr>
          <w:rStyle w:val="Strong"/>
          <w:rFonts w:ascii="Times New Roman" w:eastAsiaTheme="majorEastAsia" w:hAnsi="Times New Roman" w:cs="Times New Roman"/>
        </w:rPr>
      </w:pPr>
    </w:p>
    <w:p w:rsidR="001D3C63" w:rsidRPr="00A221A1" w:rsidRDefault="001D3C63" w:rsidP="001D3C63">
      <w:pPr>
        <w:spacing w:after="0" w:line="480" w:lineRule="auto"/>
        <w:jc w:val="center"/>
        <w:rPr>
          <w:rStyle w:val="Strong"/>
          <w:rFonts w:ascii="Times New Roman" w:eastAsiaTheme="majorEastAsia" w:hAnsi="Times New Roman" w:cs="Times New Roman"/>
        </w:rPr>
      </w:pPr>
    </w:p>
    <w:p w:rsidR="001D3C63" w:rsidRPr="00A221A1" w:rsidRDefault="001D3C63" w:rsidP="001D3C63">
      <w:pPr>
        <w:spacing w:after="0" w:line="480" w:lineRule="auto"/>
        <w:jc w:val="center"/>
        <w:rPr>
          <w:rStyle w:val="Strong"/>
          <w:rFonts w:ascii="Times New Roman" w:eastAsiaTheme="majorEastAsia" w:hAnsi="Times New Roman" w:cs="Times New Roman"/>
        </w:rPr>
      </w:pPr>
    </w:p>
    <w:p w:rsidR="001D3C63" w:rsidRPr="00A221A1" w:rsidRDefault="001D3C63" w:rsidP="001D3C63">
      <w:pPr>
        <w:spacing w:after="0" w:line="480" w:lineRule="auto"/>
        <w:jc w:val="center"/>
        <w:rPr>
          <w:rStyle w:val="Strong"/>
          <w:rFonts w:ascii="Times New Roman" w:eastAsiaTheme="majorEastAsia" w:hAnsi="Times New Roman" w:cs="Times New Roman"/>
        </w:rPr>
      </w:pPr>
    </w:p>
    <w:p w:rsidR="001D3C63" w:rsidRPr="00A221A1" w:rsidRDefault="001D3C63" w:rsidP="001D3C63">
      <w:pPr>
        <w:spacing w:after="0" w:line="480" w:lineRule="auto"/>
        <w:jc w:val="center"/>
        <w:rPr>
          <w:rStyle w:val="Strong"/>
          <w:rFonts w:ascii="Times New Roman" w:eastAsiaTheme="majorEastAsia" w:hAnsi="Times New Roman" w:cs="Times New Roman"/>
        </w:rPr>
      </w:pPr>
    </w:p>
    <w:p w:rsidR="001D3C63" w:rsidRPr="00A221A1" w:rsidRDefault="001D3C63" w:rsidP="00F76AA8">
      <w:pPr>
        <w:spacing w:after="0" w:line="480" w:lineRule="auto"/>
        <w:jc w:val="center"/>
        <w:rPr>
          <w:rStyle w:val="Strong"/>
          <w:rFonts w:ascii="Times New Roman" w:eastAsiaTheme="majorEastAsia" w:hAnsi="Times New Roman" w:cs="Times New Roman"/>
        </w:rPr>
      </w:pPr>
    </w:p>
    <w:p w:rsidR="0094240B" w:rsidRPr="00B0781F" w:rsidRDefault="0094240B" w:rsidP="0094240B">
      <w:pPr>
        <w:spacing w:after="0" w:line="480" w:lineRule="auto"/>
        <w:jc w:val="center"/>
        <w:rPr>
          <w:rFonts w:ascii="Times New Roman" w:hAnsi="Times New Roman" w:cs="Times New Roman"/>
          <w:b/>
        </w:rPr>
      </w:pPr>
      <w:r w:rsidRPr="00B0781F">
        <w:rPr>
          <w:rFonts w:ascii="Times New Roman" w:hAnsi="Times New Roman" w:cs="Times New Roman"/>
          <w:b/>
        </w:rPr>
        <w:t>Multimodal Literacy</w:t>
      </w:r>
    </w:p>
    <w:p w:rsidR="001D3C63" w:rsidRPr="00A221A1" w:rsidRDefault="001D3C63" w:rsidP="001D3C63">
      <w:pPr>
        <w:spacing w:after="0" w:line="480" w:lineRule="auto"/>
        <w:jc w:val="center"/>
        <w:rPr>
          <w:rFonts w:ascii="Times New Roman" w:hAnsi="Times New Roman" w:cs="Times New Roman"/>
          <w:bCs/>
        </w:rPr>
      </w:pPr>
    </w:p>
    <w:p w:rsidR="001D3C63" w:rsidRPr="00A221A1" w:rsidRDefault="001D3C63" w:rsidP="001D3C63">
      <w:pPr>
        <w:spacing w:after="0" w:line="480" w:lineRule="auto"/>
        <w:jc w:val="center"/>
        <w:rPr>
          <w:rFonts w:ascii="Times New Roman" w:hAnsi="Times New Roman" w:cs="Times New Roman"/>
          <w:bCs/>
        </w:rPr>
      </w:pPr>
    </w:p>
    <w:p w:rsidR="001D3C63" w:rsidRPr="00A221A1" w:rsidRDefault="00923935" w:rsidP="001D3C63">
      <w:pPr>
        <w:spacing w:after="0" w:line="480" w:lineRule="auto"/>
        <w:jc w:val="center"/>
        <w:rPr>
          <w:rFonts w:ascii="Times New Roman" w:hAnsi="Times New Roman" w:cs="Times New Roman"/>
          <w:bCs/>
        </w:rPr>
      </w:pPr>
      <w:r w:rsidRPr="00A221A1">
        <w:rPr>
          <w:rFonts w:ascii="Times New Roman" w:hAnsi="Times New Roman" w:cs="Times New Roman"/>
          <w:bCs/>
        </w:rPr>
        <w:t>Name</w:t>
      </w:r>
    </w:p>
    <w:p w:rsidR="001D3C63" w:rsidRPr="00A221A1" w:rsidRDefault="00923935" w:rsidP="001D3C63">
      <w:pPr>
        <w:spacing w:after="0" w:line="480" w:lineRule="auto"/>
        <w:jc w:val="center"/>
        <w:rPr>
          <w:rFonts w:ascii="Times New Roman" w:hAnsi="Times New Roman" w:cs="Times New Roman"/>
          <w:bCs/>
        </w:rPr>
      </w:pPr>
      <w:r w:rsidRPr="00A221A1">
        <w:rPr>
          <w:rFonts w:ascii="Times New Roman" w:hAnsi="Times New Roman" w:cs="Times New Roman"/>
          <w:bCs/>
        </w:rPr>
        <w:t>Institution Affiliation</w:t>
      </w:r>
    </w:p>
    <w:p w:rsidR="001D3C63" w:rsidRPr="00A221A1" w:rsidRDefault="00923935" w:rsidP="001D3C63">
      <w:pPr>
        <w:spacing w:after="0" w:line="480" w:lineRule="auto"/>
        <w:jc w:val="center"/>
        <w:rPr>
          <w:rFonts w:ascii="Times New Roman" w:hAnsi="Times New Roman" w:cs="Times New Roman"/>
          <w:bCs/>
        </w:rPr>
      </w:pPr>
      <w:r w:rsidRPr="00A221A1">
        <w:rPr>
          <w:rFonts w:ascii="Times New Roman" w:hAnsi="Times New Roman" w:cs="Times New Roman"/>
          <w:bCs/>
        </w:rPr>
        <w:t>Course</w:t>
      </w:r>
    </w:p>
    <w:p w:rsidR="001D3C63" w:rsidRPr="00A221A1" w:rsidRDefault="00923935" w:rsidP="001D3C63">
      <w:pPr>
        <w:spacing w:after="0" w:line="480" w:lineRule="auto"/>
        <w:jc w:val="center"/>
        <w:rPr>
          <w:rFonts w:ascii="Times New Roman" w:hAnsi="Times New Roman" w:cs="Times New Roman"/>
          <w:bCs/>
        </w:rPr>
      </w:pPr>
      <w:r w:rsidRPr="00A221A1">
        <w:rPr>
          <w:rFonts w:ascii="Times New Roman" w:hAnsi="Times New Roman" w:cs="Times New Roman"/>
          <w:bCs/>
        </w:rPr>
        <w:t>Instructor</w:t>
      </w:r>
    </w:p>
    <w:p w:rsidR="001D3C63" w:rsidRPr="00A221A1" w:rsidRDefault="00923935" w:rsidP="001D3C63">
      <w:pPr>
        <w:spacing w:after="0" w:line="480" w:lineRule="auto"/>
        <w:jc w:val="center"/>
        <w:rPr>
          <w:rFonts w:ascii="Times New Roman" w:hAnsi="Times New Roman" w:cs="Times New Roman"/>
        </w:rPr>
      </w:pPr>
      <w:r w:rsidRPr="00A221A1">
        <w:rPr>
          <w:rFonts w:ascii="Times New Roman" w:hAnsi="Times New Roman" w:cs="Times New Roman"/>
        </w:rPr>
        <w:t>Date</w:t>
      </w:r>
    </w:p>
    <w:p w:rsidR="001D3C63" w:rsidRPr="00A221A1" w:rsidRDefault="001D3C63" w:rsidP="001D3C63">
      <w:pPr>
        <w:spacing w:after="0" w:line="480" w:lineRule="auto"/>
        <w:jc w:val="center"/>
        <w:rPr>
          <w:rFonts w:ascii="Times New Roman" w:hAnsi="Times New Roman" w:cs="Times New Roman"/>
        </w:rPr>
      </w:pPr>
    </w:p>
    <w:p w:rsidR="001D3C63" w:rsidRPr="00A221A1" w:rsidRDefault="001D3C63" w:rsidP="001D3C63">
      <w:pPr>
        <w:spacing w:after="0" w:line="480" w:lineRule="auto"/>
        <w:jc w:val="center"/>
        <w:rPr>
          <w:rFonts w:ascii="Times New Roman" w:hAnsi="Times New Roman" w:cs="Times New Roman"/>
        </w:rPr>
      </w:pPr>
    </w:p>
    <w:p w:rsidR="001D3C63" w:rsidRPr="00A221A1" w:rsidRDefault="001D3C63" w:rsidP="001D3C63">
      <w:pPr>
        <w:spacing w:after="0" w:line="480" w:lineRule="auto"/>
        <w:jc w:val="center"/>
        <w:rPr>
          <w:rFonts w:ascii="Times New Roman" w:hAnsi="Times New Roman" w:cs="Times New Roman"/>
        </w:rPr>
      </w:pPr>
    </w:p>
    <w:p w:rsidR="001D3C63" w:rsidRDefault="001D3C63" w:rsidP="0066685F">
      <w:pPr>
        <w:spacing w:after="0" w:line="480" w:lineRule="auto"/>
        <w:rPr>
          <w:rFonts w:ascii="Times New Roman" w:hAnsi="Times New Roman" w:cs="Times New Roman"/>
        </w:rPr>
      </w:pPr>
    </w:p>
    <w:p w:rsidR="0066685F" w:rsidRDefault="0066685F" w:rsidP="0066685F">
      <w:pPr>
        <w:spacing w:after="0" w:line="480" w:lineRule="auto"/>
        <w:rPr>
          <w:rFonts w:ascii="Times New Roman" w:hAnsi="Times New Roman" w:cs="Times New Roman"/>
        </w:rPr>
      </w:pPr>
    </w:p>
    <w:p w:rsidR="00DA2D1A" w:rsidRDefault="00DA2D1A" w:rsidP="00DA2D1A">
      <w:pPr>
        <w:spacing w:after="0" w:line="480" w:lineRule="auto"/>
        <w:rPr>
          <w:rFonts w:ascii="Times New Roman" w:hAnsi="Times New Roman" w:cs="Times New Roman"/>
        </w:rPr>
      </w:pPr>
    </w:p>
    <w:p w:rsidR="00DA2D1A" w:rsidRDefault="00DA2D1A" w:rsidP="00DA2D1A">
      <w:pPr>
        <w:spacing w:after="0" w:line="480" w:lineRule="auto"/>
        <w:rPr>
          <w:rFonts w:ascii="Times New Roman" w:eastAsia="Times New Roman" w:hAnsi="Times New Roman" w:cs="Times New Roman"/>
          <w:b/>
          <w:bCs/>
        </w:rPr>
      </w:pPr>
    </w:p>
    <w:p w:rsidR="00B87919" w:rsidRDefault="00B87919" w:rsidP="00DA2D1A">
      <w:pPr>
        <w:spacing w:after="0" w:line="480" w:lineRule="auto"/>
        <w:rPr>
          <w:rFonts w:ascii="Times New Roman" w:eastAsia="Times New Roman" w:hAnsi="Times New Roman" w:cs="Times New Roman"/>
          <w:b/>
          <w:bCs/>
        </w:rPr>
      </w:pPr>
    </w:p>
    <w:p w:rsidR="0094240B" w:rsidRPr="00B0781F" w:rsidRDefault="0094240B" w:rsidP="0094240B">
      <w:pPr>
        <w:spacing w:after="0" w:line="480" w:lineRule="auto"/>
        <w:jc w:val="center"/>
        <w:rPr>
          <w:rFonts w:ascii="Times New Roman" w:hAnsi="Times New Roman" w:cs="Times New Roman"/>
          <w:b/>
        </w:rPr>
      </w:pPr>
      <w:r w:rsidRPr="00B0781F">
        <w:rPr>
          <w:rFonts w:ascii="Times New Roman" w:hAnsi="Times New Roman" w:cs="Times New Roman"/>
          <w:b/>
        </w:rPr>
        <w:lastRenderedPageBreak/>
        <w:t>Multimodal Literacy</w:t>
      </w:r>
    </w:p>
    <w:p w:rsidR="0094240B" w:rsidRPr="00B0781F" w:rsidRDefault="0094240B" w:rsidP="0094240B">
      <w:pPr>
        <w:spacing w:after="0" w:line="480" w:lineRule="auto"/>
        <w:ind w:firstLine="720"/>
        <w:rPr>
          <w:rFonts w:ascii="Times New Roman" w:hAnsi="Times New Roman" w:cs="Times New Roman"/>
          <w:color w:val="222222"/>
          <w:shd w:val="clear" w:color="auto" w:fill="FFFFFF"/>
        </w:rPr>
      </w:pPr>
      <w:r w:rsidRPr="00B0781F">
        <w:rPr>
          <w:rFonts w:ascii="Times New Roman" w:hAnsi="Times New Roman" w:cs="Times New Roman"/>
        </w:rPr>
        <w:t>Literacy extends beyond reading and writing to encompass multiple forms of communication. The article discusses how integrating linguistic, visual, auditory, spatial, and gestural modes of meaning contributes to the learning needs of learners and promotes equity in learning. Therefore, this broader interpretation of literacy acknowledges a digital text, visual narrative, or interactive media as authentic forms of expression (</w:t>
      </w:r>
      <w:r w:rsidRPr="00B0781F">
        <w:rPr>
          <w:rFonts w:ascii="Times New Roman" w:hAnsi="Times New Roman" w:cs="Times New Roman"/>
          <w:color w:val="222222"/>
          <w:shd w:val="clear" w:color="auto" w:fill="FFFFFF"/>
        </w:rPr>
        <w:t>Watts‐</w:t>
      </w:r>
      <w:proofErr w:type="spellStart"/>
      <w:r w:rsidRPr="00B0781F">
        <w:rPr>
          <w:rFonts w:ascii="Times New Roman" w:hAnsi="Times New Roman" w:cs="Times New Roman"/>
          <w:color w:val="222222"/>
          <w:shd w:val="clear" w:color="auto" w:fill="FFFFFF"/>
        </w:rPr>
        <w:t>Taffe</w:t>
      </w:r>
      <w:proofErr w:type="spellEnd"/>
      <w:r w:rsidRPr="00B0781F">
        <w:rPr>
          <w:rFonts w:ascii="Times New Roman" w:hAnsi="Times New Roman" w:cs="Times New Roman"/>
          <w:color w:val="222222"/>
          <w:shd w:val="clear" w:color="auto" w:fill="FFFFFF"/>
        </w:rPr>
        <w:t>, 2022).</w:t>
      </w:r>
    </w:p>
    <w:p w:rsidR="0094240B" w:rsidRPr="00B0781F" w:rsidRDefault="0094240B" w:rsidP="0094240B">
      <w:pPr>
        <w:spacing w:after="0" w:line="480" w:lineRule="auto"/>
        <w:ind w:firstLine="720"/>
        <w:rPr>
          <w:rFonts w:ascii="Times New Roman" w:hAnsi="Times New Roman" w:cs="Times New Roman"/>
        </w:rPr>
      </w:pPr>
      <w:r w:rsidRPr="00B0781F">
        <w:rPr>
          <w:rFonts w:ascii="Times New Roman" w:hAnsi="Times New Roman" w:cs="Times New Roman"/>
        </w:rPr>
        <w:t>Consequently, multimodal literacy has numerous implications for classroom practice. It enables the students to interact with the texts in line with their culture and language, enhancing the equality clause. For instance, incorporating graphic novels, infographics, and poetry in the spoken word into learning can enhance the recognition of diverse ways of presenting information. Failure and academic growth can also be addressed through digital tools such as video editing, blogs, and interactive presentations. The approach also incorporates culturally responsive teaching that allows students' identities and experiences to be represented in the classroom (Watts‐</w:t>
      </w:r>
      <w:proofErr w:type="spellStart"/>
      <w:r w:rsidRPr="00B0781F">
        <w:rPr>
          <w:rFonts w:ascii="Times New Roman" w:hAnsi="Times New Roman" w:cs="Times New Roman"/>
        </w:rPr>
        <w:t>Taffe</w:t>
      </w:r>
      <w:proofErr w:type="spellEnd"/>
      <w:r w:rsidRPr="00B0781F">
        <w:rPr>
          <w:rFonts w:ascii="Times New Roman" w:hAnsi="Times New Roman" w:cs="Times New Roman"/>
        </w:rPr>
        <w:t>, 2022).</w:t>
      </w:r>
    </w:p>
    <w:p w:rsidR="0094240B" w:rsidRPr="00B0781F" w:rsidRDefault="0094240B" w:rsidP="0094240B">
      <w:pPr>
        <w:spacing w:after="0" w:line="480" w:lineRule="auto"/>
        <w:ind w:firstLine="720"/>
        <w:rPr>
          <w:rFonts w:ascii="Times New Roman" w:hAnsi="Times New Roman" w:cs="Times New Roman"/>
        </w:rPr>
      </w:pPr>
      <w:r w:rsidRPr="00B0781F">
        <w:rPr>
          <w:rFonts w:ascii="Times New Roman" w:hAnsi="Times New Roman" w:cs="Times New Roman"/>
        </w:rPr>
        <w:t>I am gradually moving from the traditional definition of literacy as merely reading and writing to a more liberal definition embracing other literate practices. Understanding that literacy is a socially and culturally constructed concept should serve as an essential reminder of the variability of instructional approaches. The perspective poses a risky and disappointing view to educators regarding the assessment technique and teaching-learning strategies, which will create equity for all students through effective and differentiated assessment and teaching-learning practices.</w:t>
      </w:r>
    </w:p>
    <w:p w:rsidR="0094240B" w:rsidRDefault="0094240B" w:rsidP="0094240B">
      <w:pPr>
        <w:spacing w:after="0" w:line="480" w:lineRule="auto"/>
        <w:jc w:val="center"/>
        <w:rPr>
          <w:rFonts w:ascii="Times New Roman" w:hAnsi="Times New Roman" w:cs="Times New Roman"/>
          <w:b/>
        </w:rPr>
      </w:pPr>
    </w:p>
    <w:p w:rsidR="0094240B" w:rsidRDefault="0094240B" w:rsidP="0094240B">
      <w:pPr>
        <w:spacing w:after="0" w:line="480" w:lineRule="auto"/>
        <w:jc w:val="center"/>
        <w:rPr>
          <w:rFonts w:ascii="Times New Roman" w:hAnsi="Times New Roman" w:cs="Times New Roman"/>
          <w:b/>
        </w:rPr>
      </w:pPr>
    </w:p>
    <w:p w:rsidR="0094240B" w:rsidRPr="00B0781F" w:rsidRDefault="0094240B" w:rsidP="0094240B">
      <w:pPr>
        <w:spacing w:after="0" w:line="480" w:lineRule="auto"/>
        <w:jc w:val="center"/>
        <w:rPr>
          <w:rFonts w:ascii="Times New Roman" w:hAnsi="Times New Roman" w:cs="Times New Roman"/>
          <w:b/>
        </w:rPr>
      </w:pPr>
      <w:r w:rsidRPr="00B0781F">
        <w:rPr>
          <w:rFonts w:ascii="Times New Roman" w:hAnsi="Times New Roman" w:cs="Times New Roman"/>
          <w:b/>
        </w:rPr>
        <w:lastRenderedPageBreak/>
        <w:t>Reference</w:t>
      </w:r>
    </w:p>
    <w:p w:rsidR="0094240B" w:rsidRPr="00B0781F" w:rsidRDefault="0094240B" w:rsidP="0094240B">
      <w:pPr>
        <w:spacing w:after="0" w:line="480" w:lineRule="auto"/>
        <w:ind w:left="720" w:hanging="720"/>
        <w:rPr>
          <w:rFonts w:ascii="Times New Roman" w:hAnsi="Times New Roman" w:cs="Times New Roman"/>
        </w:rPr>
      </w:pPr>
      <w:r w:rsidRPr="00B0781F">
        <w:rPr>
          <w:rFonts w:ascii="Times New Roman" w:hAnsi="Times New Roman" w:cs="Times New Roman"/>
          <w:color w:val="222222"/>
          <w:shd w:val="clear" w:color="auto" w:fill="FFFFFF"/>
        </w:rPr>
        <w:t>Watts‐</w:t>
      </w:r>
      <w:proofErr w:type="spellStart"/>
      <w:r w:rsidRPr="00B0781F">
        <w:rPr>
          <w:rFonts w:ascii="Times New Roman" w:hAnsi="Times New Roman" w:cs="Times New Roman"/>
          <w:color w:val="222222"/>
          <w:shd w:val="clear" w:color="auto" w:fill="FFFFFF"/>
        </w:rPr>
        <w:t>Taffe</w:t>
      </w:r>
      <w:proofErr w:type="spellEnd"/>
      <w:r w:rsidRPr="00B0781F">
        <w:rPr>
          <w:rFonts w:ascii="Times New Roman" w:hAnsi="Times New Roman" w:cs="Times New Roman"/>
          <w:color w:val="222222"/>
          <w:shd w:val="clear" w:color="auto" w:fill="FFFFFF"/>
        </w:rPr>
        <w:t>, S. (2022). Multimodal literacies: Fertile ground for equity, inclusion, and connection. </w:t>
      </w:r>
      <w:r w:rsidRPr="00B0781F">
        <w:rPr>
          <w:rFonts w:ascii="Times New Roman" w:hAnsi="Times New Roman" w:cs="Times New Roman"/>
          <w:i/>
          <w:iCs/>
          <w:color w:val="222222"/>
          <w:shd w:val="clear" w:color="auto" w:fill="FFFFFF"/>
        </w:rPr>
        <w:t>The Reading Teacher</w:t>
      </w:r>
      <w:r w:rsidRPr="00B0781F">
        <w:rPr>
          <w:rFonts w:ascii="Times New Roman" w:hAnsi="Times New Roman" w:cs="Times New Roman"/>
          <w:color w:val="222222"/>
          <w:shd w:val="clear" w:color="auto" w:fill="FFFFFF"/>
        </w:rPr>
        <w:t>, </w:t>
      </w:r>
      <w:r w:rsidRPr="00B0781F">
        <w:rPr>
          <w:rFonts w:ascii="Times New Roman" w:hAnsi="Times New Roman" w:cs="Times New Roman"/>
          <w:i/>
          <w:iCs/>
          <w:color w:val="222222"/>
          <w:shd w:val="clear" w:color="auto" w:fill="FFFFFF"/>
        </w:rPr>
        <w:t>75</w:t>
      </w:r>
      <w:r w:rsidRPr="00B0781F">
        <w:rPr>
          <w:rFonts w:ascii="Times New Roman" w:hAnsi="Times New Roman" w:cs="Times New Roman"/>
          <w:color w:val="222222"/>
          <w:shd w:val="clear" w:color="auto" w:fill="FFFFFF"/>
        </w:rPr>
        <w:t>(5), 603-609.</w:t>
      </w:r>
    </w:p>
    <w:p w:rsidR="006E7EF7" w:rsidRPr="00A221A1" w:rsidRDefault="006E7EF7" w:rsidP="0094240B">
      <w:pPr>
        <w:spacing w:after="0" w:line="480" w:lineRule="auto"/>
        <w:jc w:val="center"/>
        <w:rPr>
          <w:rFonts w:ascii="Times New Roman" w:hAnsi="Times New Roman" w:cs="Times New Roman"/>
        </w:rPr>
      </w:pPr>
    </w:p>
    <w:sectPr w:rsidR="006E7EF7" w:rsidRPr="00A221A1" w:rsidSect="00E70F0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FB6" w:rsidRDefault="00974FB6" w:rsidP="00980413">
      <w:pPr>
        <w:spacing w:after="0" w:line="240" w:lineRule="auto"/>
      </w:pPr>
      <w:r>
        <w:separator/>
      </w:r>
    </w:p>
  </w:endnote>
  <w:endnote w:type="continuationSeparator" w:id="0">
    <w:p w:rsidR="00974FB6" w:rsidRDefault="00974FB6" w:rsidP="00980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FB6" w:rsidRDefault="00974FB6" w:rsidP="00980413">
      <w:pPr>
        <w:spacing w:after="0" w:line="240" w:lineRule="auto"/>
      </w:pPr>
      <w:r>
        <w:separator/>
      </w:r>
    </w:p>
  </w:footnote>
  <w:footnote w:type="continuationSeparator" w:id="0">
    <w:p w:rsidR="00974FB6" w:rsidRDefault="00974FB6" w:rsidP="00980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272176"/>
      <w:docPartObj>
        <w:docPartGallery w:val="Page Numbers (Top of Page)"/>
        <w:docPartUnique/>
      </w:docPartObj>
    </w:sdtPr>
    <w:sdtEndPr/>
    <w:sdtContent>
      <w:p w:rsidR="001B6445" w:rsidRDefault="0037131F">
        <w:pPr>
          <w:pStyle w:val="Header"/>
          <w:jc w:val="right"/>
        </w:pPr>
        <w:r>
          <w:fldChar w:fldCharType="begin"/>
        </w:r>
        <w:r w:rsidR="00820745">
          <w:instrText xml:space="preserve"> PAGE   \* MERGEFORMAT </w:instrText>
        </w:r>
        <w:r>
          <w:fldChar w:fldCharType="separate"/>
        </w:r>
        <w:r w:rsidR="00044212">
          <w:rPr>
            <w:noProof/>
          </w:rPr>
          <w:t>3</w:t>
        </w:r>
        <w:r>
          <w:rPr>
            <w:noProof/>
          </w:rPr>
          <w:fldChar w:fldCharType="end"/>
        </w:r>
      </w:p>
    </w:sdtContent>
  </w:sdt>
  <w:p w:rsidR="001B6445" w:rsidRDefault="001B64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73B507B"/>
    <w:rsid w:val="00010F5B"/>
    <w:rsid w:val="00035509"/>
    <w:rsid w:val="00037ED3"/>
    <w:rsid w:val="00044212"/>
    <w:rsid w:val="00050FA2"/>
    <w:rsid w:val="00060AC6"/>
    <w:rsid w:val="000646FC"/>
    <w:rsid w:val="000717F4"/>
    <w:rsid w:val="000739BB"/>
    <w:rsid w:val="00096D9D"/>
    <w:rsid w:val="000D19FA"/>
    <w:rsid w:val="000D1AEB"/>
    <w:rsid w:val="000D56A9"/>
    <w:rsid w:val="000D7A3A"/>
    <w:rsid w:val="001226EE"/>
    <w:rsid w:val="00155EDD"/>
    <w:rsid w:val="001649D2"/>
    <w:rsid w:val="00192C2B"/>
    <w:rsid w:val="001B6445"/>
    <w:rsid w:val="001D3C63"/>
    <w:rsid w:val="001D6522"/>
    <w:rsid w:val="002044DD"/>
    <w:rsid w:val="00213C28"/>
    <w:rsid w:val="00216F0B"/>
    <w:rsid w:val="002753A5"/>
    <w:rsid w:val="00277719"/>
    <w:rsid w:val="0029430B"/>
    <w:rsid w:val="0037131F"/>
    <w:rsid w:val="00383007"/>
    <w:rsid w:val="003F07BE"/>
    <w:rsid w:val="003F11AB"/>
    <w:rsid w:val="0043202A"/>
    <w:rsid w:val="004528E6"/>
    <w:rsid w:val="00466CDA"/>
    <w:rsid w:val="00484300"/>
    <w:rsid w:val="00485190"/>
    <w:rsid w:val="004E7549"/>
    <w:rsid w:val="0050270B"/>
    <w:rsid w:val="005110AD"/>
    <w:rsid w:val="0051279C"/>
    <w:rsid w:val="005300F3"/>
    <w:rsid w:val="0058384A"/>
    <w:rsid w:val="005C435C"/>
    <w:rsid w:val="005D3F38"/>
    <w:rsid w:val="005F590D"/>
    <w:rsid w:val="0062591A"/>
    <w:rsid w:val="0066685F"/>
    <w:rsid w:val="006760FC"/>
    <w:rsid w:val="00690006"/>
    <w:rsid w:val="006A6EE1"/>
    <w:rsid w:val="006E4973"/>
    <w:rsid w:val="006E7EF7"/>
    <w:rsid w:val="00700E6A"/>
    <w:rsid w:val="00737ACE"/>
    <w:rsid w:val="00755E1B"/>
    <w:rsid w:val="00770AFD"/>
    <w:rsid w:val="007A48EC"/>
    <w:rsid w:val="007A6842"/>
    <w:rsid w:val="00802A9F"/>
    <w:rsid w:val="0080557B"/>
    <w:rsid w:val="00820745"/>
    <w:rsid w:val="00820C34"/>
    <w:rsid w:val="00832519"/>
    <w:rsid w:val="00884B88"/>
    <w:rsid w:val="00884F4C"/>
    <w:rsid w:val="008B15FE"/>
    <w:rsid w:val="008B3F9E"/>
    <w:rsid w:val="008C0370"/>
    <w:rsid w:val="00923935"/>
    <w:rsid w:val="00930848"/>
    <w:rsid w:val="00941339"/>
    <w:rsid w:val="0094240B"/>
    <w:rsid w:val="00974FB6"/>
    <w:rsid w:val="00980413"/>
    <w:rsid w:val="00980F49"/>
    <w:rsid w:val="009859C6"/>
    <w:rsid w:val="009D30E3"/>
    <w:rsid w:val="00A221A1"/>
    <w:rsid w:val="00A31D48"/>
    <w:rsid w:val="00A548DA"/>
    <w:rsid w:val="00A65B33"/>
    <w:rsid w:val="00A80FD3"/>
    <w:rsid w:val="00AC15AB"/>
    <w:rsid w:val="00AC62D5"/>
    <w:rsid w:val="00AF3439"/>
    <w:rsid w:val="00B1754F"/>
    <w:rsid w:val="00B753A8"/>
    <w:rsid w:val="00B81BBB"/>
    <w:rsid w:val="00B87919"/>
    <w:rsid w:val="00BB6E8E"/>
    <w:rsid w:val="00BF70DA"/>
    <w:rsid w:val="00C17BF2"/>
    <w:rsid w:val="00C35A6D"/>
    <w:rsid w:val="00C6134B"/>
    <w:rsid w:val="00C81525"/>
    <w:rsid w:val="00C972C7"/>
    <w:rsid w:val="00CA6FE3"/>
    <w:rsid w:val="00CC5B54"/>
    <w:rsid w:val="00CF5A4C"/>
    <w:rsid w:val="00D56A64"/>
    <w:rsid w:val="00D63FBE"/>
    <w:rsid w:val="00D93DC9"/>
    <w:rsid w:val="00DA2D1A"/>
    <w:rsid w:val="00DA7541"/>
    <w:rsid w:val="00DB5006"/>
    <w:rsid w:val="00DC55F1"/>
    <w:rsid w:val="00DD66EE"/>
    <w:rsid w:val="00DE00B9"/>
    <w:rsid w:val="00DF0992"/>
    <w:rsid w:val="00E70F05"/>
    <w:rsid w:val="00E871C4"/>
    <w:rsid w:val="00EC7CFD"/>
    <w:rsid w:val="00ED18D5"/>
    <w:rsid w:val="00F1462F"/>
    <w:rsid w:val="00F36AC4"/>
    <w:rsid w:val="00F536D4"/>
    <w:rsid w:val="00F76AA8"/>
    <w:rsid w:val="00FD5A32"/>
    <w:rsid w:val="00FF3AA6"/>
    <w:rsid w:val="01476700"/>
    <w:rsid w:val="02E33761"/>
    <w:rsid w:val="02FED1D3"/>
    <w:rsid w:val="04BBB71C"/>
    <w:rsid w:val="05361A60"/>
    <w:rsid w:val="05A5F9ED"/>
    <w:rsid w:val="06D1EAC1"/>
    <w:rsid w:val="086DBB22"/>
    <w:rsid w:val="099FC0F1"/>
    <w:rsid w:val="0D5CEEF0"/>
    <w:rsid w:val="10037E97"/>
    <w:rsid w:val="10179CB8"/>
    <w:rsid w:val="10E8AC94"/>
    <w:rsid w:val="133B1F59"/>
    <w:rsid w:val="14010060"/>
    <w:rsid w:val="161B9CCE"/>
    <w:rsid w:val="16496499"/>
    <w:rsid w:val="1753F959"/>
    <w:rsid w:val="1811692E"/>
    <w:rsid w:val="18B93933"/>
    <w:rsid w:val="1981055B"/>
    <w:rsid w:val="1A023C65"/>
    <w:rsid w:val="1A550994"/>
    <w:rsid w:val="1B4909F0"/>
    <w:rsid w:val="1C961A44"/>
    <w:rsid w:val="1CB8A61D"/>
    <w:rsid w:val="1CE4DA51"/>
    <w:rsid w:val="1D8CAA56"/>
    <w:rsid w:val="1E842BEF"/>
    <w:rsid w:val="1EC4CCC0"/>
    <w:rsid w:val="1FC07AFA"/>
    <w:rsid w:val="21BBCCB1"/>
    <w:rsid w:val="21D96AF4"/>
    <w:rsid w:val="24A12C29"/>
    <w:rsid w:val="24BCEED4"/>
    <w:rsid w:val="24F7E359"/>
    <w:rsid w:val="251317CF"/>
    <w:rsid w:val="2597BC3B"/>
    <w:rsid w:val="263CFC8A"/>
    <w:rsid w:val="2690D16B"/>
    <w:rsid w:val="29C8722D"/>
    <w:rsid w:val="2AAF3D5E"/>
    <w:rsid w:val="2B64428E"/>
    <w:rsid w:val="31633868"/>
    <w:rsid w:val="355CB0D2"/>
    <w:rsid w:val="391FE7C9"/>
    <w:rsid w:val="3940C0E1"/>
    <w:rsid w:val="3D0642B8"/>
    <w:rsid w:val="3D95E4C4"/>
    <w:rsid w:val="3E8B9FF5"/>
    <w:rsid w:val="3FB19FD0"/>
    <w:rsid w:val="4488A5C7"/>
    <w:rsid w:val="44B7EE5B"/>
    <w:rsid w:val="46AEC077"/>
    <w:rsid w:val="478FA32B"/>
    <w:rsid w:val="49DE2CAD"/>
    <w:rsid w:val="4B720F88"/>
    <w:rsid w:val="4D15CD6F"/>
    <w:rsid w:val="4D7AF257"/>
    <w:rsid w:val="4D95E021"/>
    <w:rsid w:val="4EB19DD0"/>
    <w:rsid w:val="4F008420"/>
    <w:rsid w:val="504D6E31"/>
    <w:rsid w:val="5391529C"/>
    <w:rsid w:val="5433B2BE"/>
    <w:rsid w:val="561CD6D3"/>
    <w:rsid w:val="56BCAFB5"/>
    <w:rsid w:val="58588016"/>
    <w:rsid w:val="5B9020D8"/>
    <w:rsid w:val="5D2BF139"/>
    <w:rsid w:val="5D813C10"/>
    <w:rsid w:val="5EC7C19A"/>
    <w:rsid w:val="604A699E"/>
    <w:rsid w:val="6147DCC1"/>
    <w:rsid w:val="62882BE2"/>
    <w:rsid w:val="62B5F3AD"/>
    <w:rsid w:val="64F5E005"/>
    <w:rsid w:val="65A60E48"/>
    <w:rsid w:val="687E8889"/>
    <w:rsid w:val="69F7E241"/>
    <w:rsid w:val="6A79194B"/>
    <w:rsid w:val="6D60C0C6"/>
    <w:rsid w:val="6EFB08D5"/>
    <w:rsid w:val="6F239CEE"/>
    <w:rsid w:val="7232A997"/>
    <w:rsid w:val="725047DA"/>
    <w:rsid w:val="74B64071"/>
    <w:rsid w:val="7518090F"/>
    <w:rsid w:val="756BDDF0"/>
    <w:rsid w:val="7587E89C"/>
    <w:rsid w:val="760E9921"/>
    <w:rsid w:val="7723B8FD"/>
    <w:rsid w:val="773B507B"/>
    <w:rsid w:val="784B9217"/>
    <w:rsid w:val="78B6C0A0"/>
    <w:rsid w:val="79E82BC6"/>
    <w:rsid w:val="79EB7A32"/>
    <w:rsid w:val="7A767AA7"/>
    <w:rsid w:val="7C32FAFC"/>
    <w:rsid w:val="7D1F033A"/>
    <w:rsid w:val="7E19AB06"/>
    <w:rsid w:val="7F1D57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ECD6DA-7CFE-455C-A3E9-3FED9273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240B"/>
  </w:style>
  <w:style w:type="paragraph" w:styleId="Heading1">
    <w:name w:val="heading 1"/>
    <w:basedOn w:val="Normal"/>
    <w:next w:val="Normal"/>
    <w:link w:val="Heading1Char"/>
    <w:uiPriority w:val="9"/>
    <w:qFormat/>
    <w:rsid w:val="00E70F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70F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70F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70F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E70F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E70F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E70F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E70F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E70F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F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70F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70F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70F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E70F05"/>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E70F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E70F05"/>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E70F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E70F05"/>
    <w:rPr>
      <w:rFonts w:eastAsiaTheme="majorEastAsia" w:cstheme="majorBidi"/>
      <w:color w:val="272727" w:themeColor="text1" w:themeTint="D8"/>
    </w:rPr>
  </w:style>
  <w:style w:type="character" w:customStyle="1" w:styleId="TitleChar">
    <w:name w:val="Title Char"/>
    <w:basedOn w:val="DefaultParagraphFont"/>
    <w:link w:val="Title"/>
    <w:uiPriority w:val="10"/>
    <w:rsid w:val="00E70F05"/>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E70F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E70F05"/>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00E70F05"/>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sid w:val="00E70F05"/>
    <w:rPr>
      <w:i/>
      <w:iCs/>
      <w:color w:val="0F4761" w:themeColor="accent1" w:themeShade="BF"/>
    </w:rPr>
  </w:style>
  <w:style w:type="character" w:customStyle="1" w:styleId="QuoteChar">
    <w:name w:val="Quote Char"/>
    <w:basedOn w:val="DefaultParagraphFont"/>
    <w:link w:val="Quote"/>
    <w:uiPriority w:val="29"/>
    <w:rsid w:val="00E70F05"/>
    <w:rPr>
      <w:i/>
      <w:iCs/>
      <w:color w:val="404040" w:themeColor="text1" w:themeTint="BF"/>
    </w:rPr>
  </w:style>
  <w:style w:type="paragraph" w:styleId="Quote">
    <w:name w:val="Quote"/>
    <w:basedOn w:val="Normal"/>
    <w:next w:val="Normal"/>
    <w:link w:val="QuoteChar"/>
    <w:uiPriority w:val="29"/>
    <w:qFormat/>
    <w:rsid w:val="00E70F05"/>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sid w:val="00E70F05"/>
    <w:rPr>
      <w:i/>
      <w:iCs/>
      <w:color w:val="0F4761" w:themeColor="accent1" w:themeShade="BF"/>
    </w:rPr>
  </w:style>
  <w:style w:type="paragraph" w:styleId="IntenseQuote">
    <w:name w:val="Intense Quote"/>
    <w:basedOn w:val="Normal"/>
    <w:next w:val="Normal"/>
    <w:link w:val="IntenseQuoteChar"/>
    <w:uiPriority w:val="30"/>
    <w:qFormat/>
    <w:rsid w:val="00E70F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sid w:val="00E70F05"/>
    <w:rPr>
      <w:b/>
      <w:bCs/>
      <w:smallCaps/>
      <w:color w:val="0F4761" w:themeColor="accent1" w:themeShade="BF"/>
      <w:spacing w:val="5"/>
    </w:rPr>
  </w:style>
  <w:style w:type="paragraph" w:styleId="ListParagraph">
    <w:name w:val="List Paragraph"/>
    <w:basedOn w:val="Normal"/>
    <w:uiPriority w:val="34"/>
    <w:qFormat/>
    <w:rsid w:val="00E70F05"/>
    <w:pPr>
      <w:ind w:left="720"/>
      <w:contextualSpacing/>
    </w:pPr>
  </w:style>
  <w:style w:type="paragraph" w:customStyle="1" w:styleId="whitespace-pre-wrap">
    <w:name w:val="whitespace-pre-wrap"/>
    <w:basedOn w:val="Normal"/>
    <w:rsid w:val="00A548DA"/>
    <w:pPr>
      <w:spacing w:before="100" w:beforeAutospacing="1" w:after="100" w:afterAutospacing="1" w:line="240" w:lineRule="auto"/>
    </w:pPr>
    <w:rPr>
      <w:rFonts w:ascii="Times New Roman" w:eastAsia="Times New Roman" w:hAnsi="Times New Roman" w:cs="Times New Roman"/>
      <w:lang w:eastAsia="en-US"/>
    </w:rPr>
  </w:style>
  <w:style w:type="paragraph" w:styleId="NormalWeb">
    <w:name w:val="Normal (Web)"/>
    <w:basedOn w:val="Normal"/>
    <w:uiPriority w:val="99"/>
    <w:unhideWhenUsed/>
    <w:rsid w:val="00F36AC4"/>
    <w:pPr>
      <w:spacing w:before="100" w:beforeAutospacing="1" w:after="100" w:afterAutospacing="1" w:line="240" w:lineRule="auto"/>
    </w:pPr>
    <w:rPr>
      <w:rFonts w:ascii="Times New Roman" w:eastAsia="Times New Roman" w:hAnsi="Times New Roman" w:cs="Times New Roman"/>
      <w:lang w:eastAsia="en-US"/>
    </w:rPr>
  </w:style>
  <w:style w:type="character" w:styleId="Emphasis">
    <w:name w:val="Emphasis"/>
    <w:basedOn w:val="DefaultParagraphFont"/>
    <w:uiPriority w:val="20"/>
    <w:qFormat/>
    <w:rsid w:val="001B6445"/>
    <w:rPr>
      <w:i/>
      <w:iCs/>
    </w:rPr>
  </w:style>
  <w:style w:type="character" w:styleId="Hyperlink">
    <w:name w:val="Hyperlink"/>
    <w:basedOn w:val="DefaultParagraphFont"/>
    <w:uiPriority w:val="99"/>
    <w:unhideWhenUsed/>
    <w:rsid w:val="001B6445"/>
    <w:rPr>
      <w:color w:val="0000FF"/>
      <w:u w:val="single"/>
    </w:rPr>
  </w:style>
  <w:style w:type="paragraph" w:styleId="FootnoteText">
    <w:name w:val="footnote text"/>
    <w:basedOn w:val="Normal"/>
    <w:link w:val="FootnoteTextChar"/>
    <w:uiPriority w:val="99"/>
    <w:semiHidden/>
    <w:unhideWhenUsed/>
    <w:rsid w:val="001B64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6445"/>
    <w:rPr>
      <w:sz w:val="20"/>
      <w:szCs w:val="20"/>
    </w:rPr>
  </w:style>
  <w:style w:type="character" w:styleId="FootnoteReference">
    <w:name w:val="footnote reference"/>
    <w:basedOn w:val="DefaultParagraphFont"/>
    <w:uiPriority w:val="99"/>
    <w:semiHidden/>
    <w:unhideWhenUsed/>
    <w:rsid w:val="001B6445"/>
    <w:rPr>
      <w:vertAlign w:val="superscript"/>
    </w:rPr>
  </w:style>
  <w:style w:type="paragraph" w:styleId="Header">
    <w:name w:val="header"/>
    <w:basedOn w:val="Normal"/>
    <w:link w:val="HeaderChar"/>
    <w:uiPriority w:val="99"/>
    <w:unhideWhenUsed/>
    <w:rsid w:val="001B64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445"/>
  </w:style>
  <w:style w:type="paragraph" w:styleId="Footer">
    <w:name w:val="footer"/>
    <w:basedOn w:val="Normal"/>
    <w:link w:val="FooterChar"/>
    <w:uiPriority w:val="99"/>
    <w:semiHidden/>
    <w:unhideWhenUsed/>
    <w:rsid w:val="001B64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B6445"/>
  </w:style>
  <w:style w:type="character" w:styleId="Strong">
    <w:name w:val="Strong"/>
    <w:basedOn w:val="DefaultParagraphFont"/>
    <w:uiPriority w:val="22"/>
    <w:qFormat/>
    <w:rsid w:val="00192C2B"/>
    <w:rPr>
      <w:b/>
      <w:bCs/>
    </w:rPr>
  </w:style>
  <w:style w:type="character" w:customStyle="1" w:styleId="url">
    <w:name w:val="url"/>
    <w:basedOn w:val="DefaultParagraphFont"/>
    <w:rsid w:val="00122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A7705-68AE-41A5-857D-2AC8319ED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Jameka Byrom</dc:creator>
  <cp:lastModifiedBy>User</cp:lastModifiedBy>
  <cp:revision>2</cp:revision>
  <dcterms:created xsi:type="dcterms:W3CDTF">2025-05-19T11:49:00Z</dcterms:created>
  <dcterms:modified xsi:type="dcterms:W3CDTF">2025-05-19T11:49:00Z</dcterms:modified>
</cp:coreProperties>
</file>