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BFF" w:rsidRDefault="00322BFF" w:rsidP="00E97FC8">
      <w:pPr>
        <w:pStyle w:val="NormalWeb"/>
        <w:spacing w:line="480" w:lineRule="auto"/>
        <w:contextualSpacing/>
        <w:jc w:val="center"/>
        <w:rPr>
          <w:b/>
        </w:rPr>
      </w:pPr>
    </w:p>
    <w:p w:rsidR="00322BFF" w:rsidRDefault="00322BFF" w:rsidP="00E97FC8">
      <w:pPr>
        <w:pStyle w:val="NormalWeb"/>
        <w:spacing w:line="480" w:lineRule="auto"/>
        <w:contextualSpacing/>
        <w:jc w:val="center"/>
        <w:rPr>
          <w:b/>
        </w:rPr>
      </w:pPr>
    </w:p>
    <w:p w:rsidR="00322BFF" w:rsidRDefault="00322BFF" w:rsidP="00E97FC8">
      <w:pPr>
        <w:pStyle w:val="NormalWeb"/>
        <w:spacing w:line="480" w:lineRule="auto"/>
        <w:contextualSpacing/>
        <w:jc w:val="center"/>
        <w:rPr>
          <w:b/>
        </w:rPr>
      </w:pPr>
    </w:p>
    <w:p w:rsidR="00322BFF" w:rsidRDefault="00322BFF" w:rsidP="00E97FC8">
      <w:pPr>
        <w:pStyle w:val="NormalWeb"/>
        <w:spacing w:line="480" w:lineRule="auto"/>
        <w:contextualSpacing/>
        <w:jc w:val="center"/>
        <w:rPr>
          <w:b/>
        </w:rPr>
      </w:pPr>
    </w:p>
    <w:p w:rsidR="00E97FC8" w:rsidRDefault="00E97FC8" w:rsidP="00E97FC8">
      <w:pPr>
        <w:pStyle w:val="NormalWeb"/>
        <w:spacing w:line="480" w:lineRule="auto"/>
        <w:contextualSpacing/>
        <w:jc w:val="center"/>
        <w:rPr>
          <w:b/>
        </w:rPr>
      </w:pPr>
      <w:r w:rsidRPr="00811763">
        <w:rPr>
          <w:b/>
        </w:rPr>
        <w:t>Negotiation and Patient education</w:t>
      </w:r>
    </w:p>
    <w:p w:rsidR="00322BFF" w:rsidRDefault="00322BFF" w:rsidP="00E97FC8">
      <w:pPr>
        <w:pStyle w:val="NormalWeb"/>
        <w:spacing w:line="480" w:lineRule="auto"/>
        <w:contextualSpacing/>
        <w:jc w:val="center"/>
      </w:pPr>
    </w:p>
    <w:p w:rsidR="00322BFF" w:rsidRDefault="00322BFF" w:rsidP="00E97FC8">
      <w:pPr>
        <w:pStyle w:val="NormalWeb"/>
        <w:spacing w:line="480" w:lineRule="auto"/>
        <w:contextualSpacing/>
        <w:jc w:val="center"/>
      </w:pPr>
    </w:p>
    <w:p w:rsidR="00322BFF" w:rsidRDefault="00322BFF" w:rsidP="00E97FC8">
      <w:pPr>
        <w:pStyle w:val="NormalWeb"/>
        <w:spacing w:line="480" w:lineRule="auto"/>
        <w:contextualSpacing/>
        <w:jc w:val="center"/>
      </w:pPr>
    </w:p>
    <w:p w:rsidR="00322BFF" w:rsidRDefault="00322BFF" w:rsidP="00E97FC8">
      <w:pPr>
        <w:pStyle w:val="NormalWeb"/>
        <w:spacing w:line="480" w:lineRule="auto"/>
        <w:contextualSpacing/>
        <w:jc w:val="center"/>
      </w:pPr>
    </w:p>
    <w:p w:rsidR="00322BFF" w:rsidRDefault="00322BFF" w:rsidP="00E97FC8">
      <w:pPr>
        <w:pStyle w:val="NormalWeb"/>
        <w:spacing w:line="480" w:lineRule="auto"/>
        <w:contextualSpacing/>
        <w:jc w:val="center"/>
      </w:pPr>
      <w:r>
        <w:t>Name</w:t>
      </w:r>
    </w:p>
    <w:p w:rsidR="00322BFF" w:rsidRDefault="00322BFF" w:rsidP="00E97FC8">
      <w:pPr>
        <w:pStyle w:val="NormalWeb"/>
        <w:spacing w:line="480" w:lineRule="auto"/>
        <w:contextualSpacing/>
        <w:jc w:val="center"/>
      </w:pPr>
      <w:r>
        <w:t>Institution</w:t>
      </w:r>
    </w:p>
    <w:p w:rsidR="00322BFF" w:rsidRDefault="00322BFF" w:rsidP="00E97FC8">
      <w:pPr>
        <w:pStyle w:val="NormalWeb"/>
        <w:spacing w:line="480" w:lineRule="auto"/>
        <w:contextualSpacing/>
        <w:jc w:val="center"/>
      </w:pPr>
      <w:r>
        <w:t>Course</w:t>
      </w:r>
    </w:p>
    <w:p w:rsidR="00322BFF" w:rsidRDefault="00322BFF" w:rsidP="00E97FC8">
      <w:pPr>
        <w:pStyle w:val="NormalWeb"/>
        <w:spacing w:line="480" w:lineRule="auto"/>
        <w:contextualSpacing/>
        <w:jc w:val="center"/>
      </w:pPr>
      <w:r>
        <w:t>Instructor</w:t>
      </w:r>
    </w:p>
    <w:p w:rsidR="00322BFF" w:rsidRDefault="00322BFF" w:rsidP="00E97FC8">
      <w:pPr>
        <w:pStyle w:val="NormalWeb"/>
        <w:spacing w:line="480" w:lineRule="auto"/>
        <w:contextualSpacing/>
        <w:jc w:val="center"/>
      </w:pPr>
      <w:r>
        <w:t>Date</w:t>
      </w:r>
    </w:p>
    <w:p w:rsidR="00322BFF" w:rsidRDefault="00322BFF" w:rsidP="00322BFF">
      <w:pPr>
        <w:pStyle w:val="NormalWeb"/>
        <w:spacing w:line="480" w:lineRule="auto"/>
        <w:contextualSpacing/>
        <w:jc w:val="center"/>
        <w:rPr>
          <w:b/>
        </w:rPr>
      </w:pPr>
    </w:p>
    <w:p w:rsidR="00322BFF" w:rsidRDefault="00322BFF" w:rsidP="00322BFF">
      <w:pPr>
        <w:pStyle w:val="NormalWeb"/>
        <w:spacing w:line="480" w:lineRule="auto"/>
        <w:contextualSpacing/>
        <w:jc w:val="center"/>
        <w:rPr>
          <w:b/>
        </w:rPr>
      </w:pPr>
    </w:p>
    <w:p w:rsidR="00322BFF" w:rsidRDefault="00322BFF" w:rsidP="00322BFF">
      <w:pPr>
        <w:pStyle w:val="NormalWeb"/>
        <w:spacing w:line="480" w:lineRule="auto"/>
        <w:contextualSpacing/>
        <w:jc w:val="center"/>
        <w:rPr>
          <w:b/>
        </w:rPr>
      </w:pPr>
    </w:p>
    <w:p w:rsidR="00322BFF" w:rsidRDefault="00322BFF" w:rsidP="00322BFF">
      <w:pPr>
        <w:pStyle w:val="NormalWeb"/>
        <w:spacing w:line="480" w:lineRule="auto"/>
        <w:contextualSpacing/>
        <w:jc w:val="center"/>
        <w:rPr>
          <w:b/>
        </w:rPr>
      </w:pPr>
    </w:p>
    <w:p w:rsidR="00322BFF" w:rsidRDefault="00322BFF" w:rsidP="00322BFF">
      <w:pPr>
        <w:pStyle w:val="NormalWeb"/>
        <w:spacing w:line="480" w:lineRule="auto"/>
        <w:contextualSpacing/>
        <w:jc w:val="center"/>
        <w:rPr>
          <w:b/>
        </w:rPr>
      </w:pPr>
    </w:p>
    <w:p w:rsidR="00322BFF" w:rsidRDefault="00322BFF" w:rsidP="00322BFF">
      <w:pPr>
        <w:pStyle w:val="NormalWeb"/>
        <w:spacing w:line="480" w:lineRule="auto"/>
        <w:contextualSpacing/>
        <w:jc w:val="center"/>
        <w:rPr>
          <w:b/>
        </w:rPr>
      </w:pPr>
    </w:p>
    <w:p w:rsidR="00322BFF" w:rsidRDefault="00322BFF" w:rsidP="00322BFF">
      <w:pPr>
        <w:pStyle w:val="NormalWeb"/>
        <w:spacing w:line="480" w:lineRule="auto"/>
        <w:contextualSpacing/>
        <w:jc w:val="center"/>
        <w:rPr>
          <w:b/>
        </w:rPr>
      </w:pPr>
    </w:p>
    <w:p w:rsidR="00322BFF" w:rsidRDefault="00322BFF" w:rsidP="00322BFF">
      <w:pPr>
        <w:pStyle w:val="NormalWeb"/>
        <w:spacing w:line="480" w:lineRule="auto"/>
        <w:contextualSpacing/>
        <w:jc w:val="center"/>
        <w:rPr>
          <w:b/>
        </w:rPr>
      </w:pPr>
    </w:p>
    <w:p w:rsidR="00322BFF" w:rsidRDefault="00322BFF" w:rsidP="00322BFF">
      <w:pPr>
        <w:pStyle w:val="NormalWeb"/>
        <w:spacing w:line="480" w:lineRule="auto"/>
        <w:contextualSpacing/>
        <w:jc w:val="center"/>
        <w:rPr>
          <w:b/>
        </w:rPr>
      </w:pPr>
    </w:p>
    <w:p w:rsidR="00322BFF" w:rsidRPr="00811763" w:rsidRDefault="00322BFF" w:rsidP="00322BFF">
      <w:pPr>
        <w:pStyle w:val="NormalWeb"/>
        <w:spacing w:line="480" w:lineRule="auto"/>
        <w:contextualSpacing/>
        <w:jc w:val="center"/>
        <w:rPr>
          <w:rStyle w:val="Strong"/>
          <w:rFonts w:eastAsiaTheme="majorEastAsia"/>
          <w:b w:val="0"/>
        </w:rPr>
      </w:pPr>
      <w:r w:rsidRPr="00811763">
        <w:rPr>
          <w:b/>
        </w:rPr>
        <w:lastRenderedPageBreak/>
        <w:t>Negotiation and Patient education</w:t>
      </w:r>
    </w:p>
    <w:p w:rsidR="00972CEE" w:rsidRDefault="00972CEE" w:rsidP="001163AA">
      <w:pPr>
        <w:pStyle w:val="NormalWeb"/>
        <w:spacing w:line="480" w:lineRule="auto"/>
        <w:contextualSpacing/>
      </w:pPr>
      <w:r>
        <w:rPr>
          <w:rStyle w:val="Strong"/>
          <w:rFonts w:eastAsiaTheme="majorEastAsia"/>
        </w:rPr>
        <w:t>Define negotiation as it applies to patient education</w:t>
      </w:r>
      <w:r>
        <w:t xml:space="preserve"> </w:t>
      </w:r>
    </w:p>
    <w:p w:rsidR="001163AA" w:rsidRDefault="001163AA" w:rsidP="00BE6715">
      <w:pPr>
        <w:pStyle w:val="NormalWeb"/>
        <w:spacing w:line="480" w:lineRule="auto"/>
        <w:ind w:firstLine="720"/>
        <w:contextualSpacing/>
      </w:pPr>
      <w:r>
        <w:t xml:space="preserve">When it comes to patient education, negotiation is one of the ways that healthcare providers and patients come to an agreement on </w:t>
      </w:r>
      <w:r w:rsidR="000261F9">
        <w:t>the care process</w:t>
      </w:r>
      <w:r>
        <w:t xml:space="preserve">. In this approach, the patient </w:t>
      </w:r>
      <w:r w:rsidR="0096054A">
        <w:t>actively engages</w:t>
      </w:r>
      <w:r>
        <w:t xml:space="preserve"> in the treatment process and ensures that information provided is in line with the patient’s values, beliefs, and lifestyle</w:t>
      </w:r>
      <w:r w:rsidR="005568E0">
        <w:t xml:space="preserve"> (</w:t>
      </w:r>
      <w:proofErr w:type="spellStart"/>
      <w:r w:rsidR="005568E0">
        <w:t>Nilou</w:t>
      </w:r>
      <w:proofErr w:type="spellEnd"/>
      <w:r w:rsidR="005568E0">
        <w:t xml:space="preserve"> et al., 2024)</w:t>
      </w:r>
      <w:r>
        <w:t xml:space="preserve">. </w:t>
      </w:r>
      <w:r w:rsidR="00482951">
        <w:t>Through</w:t>
      </w:r>
      <w:r>
        <w:t xml:space="preserve"> </w:t>
      </w:r>
      <w:r w:rsidR="00482951">
        <w:t>negotiation</w:t>
      </w:r>
      <w:r>
        <w:t xml:space="preserve">, both parties can establish attainable health goals and the likelihood of success as well as patient compliance </w:t>
      </w:r>
      <w:r w:rsidR="00DD3F69">
        <w:t>is</w:t>
      </w:r>
      <w:r>
        <w:t xml:space="preserve"> high.</w:t>
      </w:r>
    </w:p>
    <w:p w:rsidR="00BE6715" w:rsidRDefault="00972CEE" w:rsidP="001163AA">
      <w:pPr>
        <w:pStyle w:val="NormalWeb"/>
        <w:spacing w:line="480" w:lineRule="auto"/>
        <w:contextualSpacing/>
        <w:rPr>
          <w:rStyle w:val="Strong"/>
          <w:rFonts w:eastAsiaTheme="majorEastAsia"/>
        </w:rPr>
      </w:pPr>
      <w:r>
        <w:rPr>
          <w:rStyle w:val="Strong"/>
          <w:rFonts w:eastAsiaTheme="majorEastAsia"/>
        </w:rPr>
        <w:t>Explain how the change in the patient's status through the years has affected patient education</w:t>
      </w:r>
    </w:p>
    <w:p w:rsidR="001163AA" w:rsidRDefault="001163AA" w:rsidP="00BE6715">
      <w:pPr>
        <w:pStyle w:val="NormalWeb"/>
        <w:spacing w:line="480" w:lineRule="auto"/>
        <w:ind w:firstLine="720"/>
        <w:contextualSpacing/>
      </w:pPr>
      <w:r>
        <w:t xml:space="preserve">As patients </w:t>
      </w:r>
      <w:r w:rsidR="00DB2FBC">
        <w:t xml:space="preserve">have </w:t>
      </w:r>
      <w:r>
        <w:t xml:space="preserve">become more informed and engaged in their care, education has evolved from being a one-way process to a patient-centric model. The transition from </w:t>
      </w:r>
      <w:r w:rsidR="00DB2FBC">
        <w:t xml:space="preserve">passive consumers to active </w:t>
      </w:r>
      <w:r>
        <w:t xml:space="preserve">consumers has resulted in the use of shared decision-making, individual </w:t>
      </w:r>
      <w:r w:rsidR="00E55729">
        <w:t>education</w:t>
      </w:r>
      <w:r>
        <w:t xml:space="preserve"> plans, and</w:t>
      </w:r>
      <w:r w:rsidR="00E55729">
        <w:t xml:space="preserve"> acknowledgement of</w:t>
      </w:r>
      <w:r>
        <w:t xml:space="preserve"> patients’ culture and individuality.</w:t>
      </w:r>
    </w:p>
    <w:p w:rsidR="00972CEE" w:rsidRPr="00972CEE" w:rsidRDefault="001163AA" w:rsidP="002B63B2">
      <w:pPr>
        <w:pStyle w:val="NormalWeb"/>
        <w:spacing w:line="480" w:lineRule="auto"/>
        <w:contextualSpacing/>
        <w:rPr>
          <w:b/>
        </w:rPr>
      </w:pPr>
      <w:r w:rsidRPr="00972CEE">
        <w:rPr>
          <w:b/>
        </w:rPr>
        <w:t>List the pros and cons of negotiation</w:t>
      </w:r>
    </w:p>
    <w:p w:rsidR="002B63B2" w:rsidRPr="002B63B2" w:rsidRDefault="00627264" w:rsidP="000854BA">
      <w:pPr>
        <w:pStyle w:val="NormalWeb"/>
        <w:spacing w:line="480" w:lineRule="auto"/>
        <w:ind w:firstLine="720"/>
        <w:contextualSpacing/>
      </w:pPr>
      <w:r>
        <w:t>Negotiation</w:t>
      </w:r>
      <w:r w:rsidR="001163AA">
        <w:t xml:space="preserve"> in patient education </w:t>
      </w:r>
      <w:r>
        <w:t xml:space="preserve">has various advantages and challenges. </w:t>
      </w:r>
      <w:r w:rsidR="001163AA">
        <w:t xml:space="preserve">On the positive side, it involves </w:t>
      </w:r>
      <w:r w:rsidR="00AD1DE9">
        <w:t>patients’</w:t>
      </w:r>
      <w:r w:rsidR="001163AA">
        <w:t xml:space="preserve"> decisions about their care thus enhancing adherence to set treatment plans and </w:t>
      </w:r>
      <w:r w:rsidR="00AD1DE9">
        <w:t>better patient-</w:t>
      </w:r>
      <w:r w:rsidR="001163AA">
        <w:t>provider relationshi</w:t>
      </w:r>
      <w:r w:rsidR="00D24DBB">
        <w:t xml:space="preserve">p. This engaged </w:t>
      </w:r>
      <w:r w:rsidR="001163AA">
        <w:t xml:space="preserve">approach enables </w:t>
      </w:r>
      <w:r w:rsidR="00D24DBB">
        <w:t>taking</w:t>
      </w:r>
      <w:r w:rsidR="001163AA">
        <w:t xml:space="preserve"> patient’s values and preferences into account and develop better care plan</w:t>
      </w:r>
      <w:r w:rsidR="00A836CC">
        <w:t>s</w:t>
      </w:r>
      <w:r w:rsidR="001163AA">
        <w:t xml:space="preserve">. However, negotiation is a slow process and it may </w:t>
      </w:r>
      <w:r w:rsidR="001939B0">
        <w:t>need</w:t>
      </w:r>
      <w:r w:rsidR="001163AA">
        <w:t xml:space="preserve"> healthcare professionals to spend time in discussions and planning. Furthermore, it needs proper</w:t>
      </w:r>
      <w:r w:rsidR="00037FDB">
        <w:t xml:space="preserve"> communication to function well, hence a risk of</w:t>
      </w:r>
      <w:r w:rsidR="001163AA">
        <w:t xml:space="preserve"> confrontation if patient and provider’s expectations are not aligned.</w:t>
      </w:r>
    </w:p>
    <w:p w:rsidR="000854BA" w:rsidRDefault="000322C6" w:rsidP="001163AA">
      <w:pPr>
        <w:pStyle w:val="NormalWeb"/>
        <w:spacing w:line="480" w:lineRule="auto"/>
        <w:contextualSpacing/>
        <w:rPr>
          <w:rStyle w:val="Strong"/>
          <w:rFonts w:eastAsiaTheme="majorEastAsia"/>
        </w:rPr>
      </w:pPr>
      <w:r>
        <w:rPr>
          <w:rStyle w:val="Strong"/>
          <w:rFonts w:eastAsiaTheme="majorEastAsia"/>
        </w:rPr>
        <w:t>Describe the general conditions that would be included in a patient contract</w:t>
      </w:r>
    </w:p>
    <w:p w:rsidR="001163AA" w:rsidRDefault="00BA465C" w:rsidP="000854BA">
      <w:pPr>
        <w:pStyle w:val="NormalWeb"/>
        <w:spacing w:line="480" w:lineRule="auto"/>
        <w:ind w:firstLine="720"/>
        <w:contextualSpacing/>
      </w:pPr>
      <w:r>
        <w:lastRenderedPageBreak/>
        <w:t xml:space="preserve">A </w:t>
      </w:r>
      <w:r w:rsidR="001163AA">
        <w:t xml:space="preserve">patient contract </w:t>
      </w:r>
      <w:r>
        <w:t>entails</w:t>
      </w:r>
      <w:r w:rsidR="001163AA">
        <w:t xml:space="preserve"> treatment plan and goals, </w:t>
      </w:r>
      <w:r>
        <w:t xml:space="preserve">anticipated results, </w:t>
      </w:r>
      <w:r w:rsidR="001163AA">
        <w:t xml:space="preserve">patient responsibilities, follow-up appointments, and reasons for contract cancellation. It also outlines the roles and obligations of </w:t>
      </w:r>
      <w:r w:rsidR="00677C2E">
        <w:t xml:space="preserve">both </w:t>
      </w:r>
      <w:r w:rsidR="001163AA">
        <w:t>the healthcare provider and the patient so that there is no confusion as to who is supposed to do what.</w:t>
      </w:r>
    </w:p>
    <w:p w:rsidR="000322C6" w:rsidRPr="000322C6" w:rsidRDefault="001163AA" w:rsidP="001163AA">
      <w:pPr>
        <w:pStyle w:val="NormalWeb"/>
        <w:spacing w:line="480" w:lineRule="auto"/>
        <w:contextualSpacing/>
        <w:rPr>
          <w:b/>
        </w:rPr>
      </w:pPr>
      <w:r w:rsidRPr="000322C6">
        <w:rPr>
          <w:b/>
        </w:rPr>
        <w:t>Define old age and baby boomer.</w:t>
      </w:r>
    </w:p>
    <w:p w:rsidR="00C932F5" w:rsidRDefault="00C932F5" w:rsidP="000854BA">
      <w:pPr>
        <w:pStyle w:val="NormalWeb"/>
        <w:spacing w:line="480" w:lineRule="auto"/>
        <w:ind w:firstLine="720"/>
        <w:contextualSpacing/>
      </w:pPr>
      <w:r>
        <w:t>The baby boomer generation, born between 1946 and 1964, is now reaching old age, significantly impacting healthcare systems. This aging population presents unique challenges, including increased demand for chronic disease management, the need for geriatric care, and considerations for long-term care planning. Their diverse experiences and expectations also shape their healthcare needs and preferences.</w:t>
      </w:r>
    </w:p>
    <w:p w:rsidR="000854BA" w:rsidRDefault="003840CA" w:rsidP="00727F7E">
      <w:pPr>
        <w:pStyle w:val="NormalWeb"/>
        <w:spacing w:line="480" w:lineRule="auto"/>
        <w:contextualSpacing/>
        <w:rPr>
          <w:rStyle w:val="Strong"/>
          <w:rFonts w:eastAsiaTheme="majorEastAsia"/>
        </w:rPr>
      </w:pPr>
      <w:r>
        <w:rPr>
          <w:rStyle w:val="Strong"/>
          <w:rFonts w:eastAsiaTheme="majorEastAsia"/>
        </w:rPr>
        <w:t>List several generational, religious, and cultural differences between the 30-year-old health care professional and the elderly patient</w:t>
      </w:r>
    </w:p>
    <w:p w:rsidR="00727F7E" w:rsidRDefault="00727F7E" w:rsidP="000854BA">
      <w:pPr>
        <w:pStyle w:val="NormalWeb"/>
        <w:spacing w:line="480" w:lineRule="auto"/>
        <w:ind w:firstLine="720"/>
        <w:contextualSpacing/>
      </w:pPr>
      <w:r>
        <w:t>Generational differences include varying levels of technology comfort and communication styles. Religious differences may involve views on medical interventions, while cultural differences might affect dietary preferences and attitudes toward authority. These factors can influence the healthcare professional’s approach to patient education and the patient's acceptance of care.</w:t>
      </w:r>
    </w:p>
    <w:p w:rsidR="000854BA" w:rsidRDefault="003840CA" w:rsidP="00AE25FA">
      <w:pPr>
        <w:pStyle w:val="NormalWeb"/>
        <w:spacing w:line="480" w:lineRule="auto"/>
        <w:contextualSpacing/>
        <w:rPr>
          <w:rStyle w:val="Strong"/>
          <w:rFonts w:eastAsiaTheme="majorEastAsia"/>
        </w:rPr>
      </w:pPr>
      <w:r>
        <w:rPr>
          <w:rStyle w:val="Strong"/>
          <w:rFonts w:eastAsiaTheme="majorEastAsia"/>
        </w:rPr>
        <w:t>Explain some of the barriers to patient education of the elderly and discuss their special needs</w:t>
      </w:r>
    </w:p>
    <w:p w:rsidR="00AE25FA" w:rsidRDefault="00AE25FA" w:rsidP="000854BA">
      <w:pPr>
        <w:pStyle w:val="NormalWeb"/>
        <w:spacing w:line="480" w:lineRule="auto"/>
        <w:ind w:firstLine="720"/>
        <w:contextualSpacing/>
      </w:pPr>
      <w:r>
        <w:t>Barriers to educating elderly patients include sensory impairments (hearing or vision loss), cognitive decline, and resistance to change</w:t>
      </w:r>
      <w:r w:rsidR="00FE01D8">
        <w:t xml:space="preserve"> (Jaiswal et al., 2020)</w:t>
      </w:r>
      <w:r>
        <w:t xml:space="preserve">. Their special needs often require tailored communication strategies, simplified information, and a more patient approach. </w:t>
      </w:r>
      <w:r>
        <w:lastRenderedPageBreak/>
        <w:t>Understanding these barriers is essential to effectively educate and support elderly patients in managing their health.</w:t>
      </w:r>
    </w:p>
    <w:p w:rsidR="003840CA" w:rsidRDefault="003840CA" w:rsidP="001163AA">
      <w:pPr>
        <w:pStyle w:val="NormalWeb"/>
        <w:spacing w:line="480" w:lineRule="auto"/>
        <w:contextualSpacing/>
      </w:pPr>
      <w:r>
        <w:rPr>
          <w:rStyle w:val="Strong"/>
          <w:rFonts w:eastAsiaTheme="majorEastAsia"/>
        </w:rPr>
        <w:t>List ways to best approach patient education of the elderly</w:t>
      </w:r>
      <w:r>
        <w:t xml:space="preserve"> </w:t>
      </w:r>
    </w:p>
    <w:p w:rsidR="001163AA" w:rsidRDefault="001163AA" w:rsidP="000854BA">
      <w:pPr>
        <w:pStyle w:val="NormalWeb"/>
        <w:spacing w:line="480" w:lineRule="auto"/>
        <w:ind w:firstLine="720"/>
        <w:contextualSpacing/>
      </w:pPr>
      <w:r>
        <w:t xml:space="preserve">It is also important to be patient and to use simple language when educating elderly patients. Illustrations are </w:t>
      </w:r>
      <w:r w:rsidR="00711839">
        <w:t>crucial</w:t>
      </w:r>
      <w:r>
        <w:t xml:space="preserve">, </w:t>
      </w:r>
      <w:r w:rsidR="002D2008">
        <w:t>repeat details as possible</w:t>
      </w:r>
      <w:r>
        <w:t xml:space="preserve">, and to ensure that the </w:t>
      </w:r>
      <w:r w:rsidR="002D2008">
        <w:t>settings</w:t>
      </w:r>
      <w:r>
        <w:t xml:space="preserve"> for learning are </w:t>
      </w:r>
      <w:r w:rsidR="002D2008">
        <w:t>effective</w:t>
      </w:r>
      <w:r>
        <w:t xml:space="preserve">. </w:t>
      </w:r>
      <w:r w:rsidR="002D2008">
        <w:t>It is also crucial to i</w:t>
      </w:r>
      <w:r>
        <w:t xml:space="preserve">nvolve other members of the family </w:t>
      </w:r>
      <w:r w:rsidR="00E95512">
        <w:t>when necessary</w:t>
      </w:r>
      <w:r>
        <w:t xml:space="preserve"> and respect the decisions of the patient </w:t>
      </w:r>
      <w:r w:rsidR="00AD11EA">
        <w:t>and interests</w:t>
      </w:r>
      <w:r>
        <w:t>.</w:t>
      </w:r>
    </w:p>
    <w:p w:rsidR="000854BA" w:rsidRDefault="003840CA" w:rsidP="001163AA">
      <w:pPr>
        <w:pStyle w:val="NormalWeb"/>
        <w:spacing w:line="480" w:lineRule="auto"/>
        <w:contextualSpacing/>
        <w:rPr>
          <w:rStyle w:val="Strong"/>
          <w:rFonts w:eastAsiaTheme="majorEastAsia"/>
        </w:rPr>
      </w:pPr>
      <w:r>
        <w:rPr>
          <w:rStyle w:val="Strong"/>
          <w:rFonts w:eastAsiaTheme="majorEastAsia"/>
        </w:rPr>
        <w:t>Discuss some cultural and religious beliefs about death that you have encountered</w:t>
      </w:r>
    </w:p>
    <w:p w:rsidR="001163AA" w:rsidRDefault="001C4A4B" w:rsidP="000854BA">
      <w:pPr>
        <w:pStyle w:val="NormalWeb"/>
        <w:spacing w:line="480" w:lineRule="auto"/>
        <w:ind w:firstLine="720"/>
        <w:contextualSpacing/>
      </w:pPr>
      <w:r>
        <w:t xml:space="preserve">Different </w:t>
      </w:r>
      <w:r w:rsidR="001163AA">
        <w:t xml:space="preserve">cultures have varying ways of handling death, some accepting it as natural while others fear it or </w:t>
      </w:r>
      <w:r w:rsidR="00A35471">
        <w:t>see it as a taboo</w:t>
      </w:r>
      <w:r w:rsidR="00A52031">
        <w:t xml:space="preserve"> (Hidalgo et al., 2020)</w:t>
      </w:r>
      <w:r w:rsidR="001163AA">
        <w:t xml:space="preserve">. </w:t>
      </w:r>
      <w:r w:rsidR="00497959">
        <w:t>Religious</w:t>
      </w:r>
      <w:r w:rsidR="001163AA">
        <w:t xml:space="preserve"> beliefs </w:t>
      </w:r>
      <w:r w:rsidR="00497959">
        <w:t>can impact</w:t>
      </w:r>
      <w:r w:rsidR="001163AA">
        <w:t xml:space="preserve"> opinions on euthanasia, utilization of life-sustaining measures, or </w:t>
      </w:r>
      <w:r w:rsidR="00672909">
        <w:t>various end of life</w:t>
      </w:r>
      <w:r w:rsidR="001163AA">
        <w:t xml:space="preserve"> preferences.</w:t>
      </w:r>
      <w:r w:rsidR="00672909">
        <w:t xml:space="preserve"> Thus, i</w:t>
      </w:r>
      <w:r w:rsidR="001163AA">
        <w:t xml:space="preserve">t is crucial to be aware of these beliefs </w:t>
      </w:r>
      <w:r w:rsidR="00345FC3">
        <w:t>to provide care</w:t>
      </w:r>
      <w:r w:rsidR="001163AA">
        <w:t xml:space="preserve"> in a culturally appropriate manner.</w:t>
      </w:r>
    </w:p>
    <w:p w:rsidR="000854BA" w:rsidRDefault="003840CA" w:rsidP="003840CA">
      <w:pPr>
        <w:pStyle w:val="NormalWeb"/>
        <w:spacing w:line="480" w:lineRule="auto"/>
        <w:contextualSpacing/>
        <w:rPr>
          <w:rStyle w:val="Strong"/>
          <w:rFonts w:eastAsiaTheme="majorEastAsia"/>
        </w:rPr>
      </w:pPr>
      <w:r>
        <w:rPr>
          <w:rStyle w:val="Strong"/>
          <w:rFonts w:eastAsiaTheme="majorEastAsia"/>
        </w:rPr>
        <w:t>Explain why it is important to discuss death and dying with the elderly patient and what the impact is on all involved</w:t>
      </w:r>
    </w:p>
    <w:p w:rsidR="001163AA" w:rsidRDefault="001163AA" w:rsidP="000854BA">
      <w:pPr>
        <w:pStyle w:val="NormalWeb"/>
        <w:spacing w:line="480" w:lineRule="auto"/>
        <w:ind w:firstLine="720"/>
        <w:contextualSpacing/>
      </w:pPr>
      <w:r>
        <w:t xml:space="preserve">Discussing death with elderly patients makes them understand what they desire regarding their </w:t>
      </w:r>
      <w:r w:rsidR="0016623C">
        <w:t>end of life care, guaranteeing their interests are considered</w:t>
      </w:r>
      <w:r>
        <w:t>. This may be comforting to the patients and their families, especially because it empowers them and makes them aware of what is going to happen to them. To healthcare professionals, it is a manner of outlining the patients’ expectations, enabling them to provide personalized, considerate and appropriate treatment.</w:t>
      </w:r>
    </w:p>
    <w:p w:rsidR="006B2189" w:rsidRDefault="00CC6C43" w:rsidP="00C932F5">
      <w:pPr>
        <w:pStyle w:val="NormalWeb"/>
        <w:spacing w:line="480" w:lineRule="auto"/>
        <w:contextualSpacing/>
        <w:rPr>
          <w:rStyle w:val="Strong"/>
          <w:rFonts w:eastAsiaTheme="majorEastAsia"/>
        </w:rPr>
      </w:pPr>
      <w:r>
        <w:rPr>
          <w:rStyle w:val="Strong"/>
          <w:rFonts w:eastAsiaTheme="majorEastAsia"/>
        </w:rPr>
        <w:t>Explain how to teach a patient with a life-threatening illness</w:t>
      </w:r>
    </w:p>
    <w:p w:rsidR="004E29D2" w:rsidRDefault="00607F11" w:rsidP="00E93F35">
      <w:pPr>
        <w:pStyle w:val="NormalWeb"/>
        <w:spacing w:line="480" w:lineRule="auto"/>
        <w:ind w:firstLine="720"/>
        <w:contextualSpacing/>
      </w:pPr>
      <w:r>
        <w:t>When educating patients with a life-threatening condition, i</w:t>
      </w:r>
      <w:r w:rsidR="001163AA">
        <w:t xml:space="preserve">t is important to provide accurate and </w:t>
      </w:r>
      <w:r>
        <w:t>clear</w:t>
      </w:r>
      <w:r w:rsidR="001163AA">
        <w:t xml:space="preserve"> information about the condition and the available choices to </w:t>
      </w:r>
      <w:r w:rsidR="004E29D2">
        <w:t xml:space="preserve">make the right choices and manage the issue. It is essential to address emotional aspects, provide the right </w:t>
      </w:r>
      <w:r w:rsidR="004E29D2">
        <w:lastRenderedPageBreak/>
        <w:t xml:space="preserve">support, and modify education based on the individual’s willingness to learn, their cultural beliefs, </w:t>
      </w:r>
      <w:r w:rsidR="00760267">
        <w:t>and interests.</w:t>
      </w:r>
    </w:p>
    <w:p w:rsidR="00A741B4" w:rsidRDefault="00A741B4" w:rsidP="00A741B4">
      <w:pPr>
        <w:pStyle w:val="NormalWeb"/>
        <w:spacing w:line="480" w:lineRule="auto"/>
        <w:contextualSpacing/>
      </w:pPr>
    </w:p>
    <w:p w:rsidR="00A741B4" w:rsidRDefault="00A741B4" w:rsidP="00A741B4">
      <w:pPr>
        <w:pStyle w:val="NormalWeb"/>
        <w:spacing w:line="480" w:lineRule="auto"/>
        <w:contextualSpacing/>
      </w:pPr>
    </w:p>
    <w:p w:rsidR="00A741B4" w:rsidRDefault="00A741B4" w:rsidP="00A741B4">
      <w:pPr>
        <w:pStyle w:val="NormalWeb"/>
        <w:spacing w:line="480" w:lineRule="auto"/>
        <w:contextualSpacing/>
      </w:pPr>
    </w:p>
    <w:p w:rsidR="00A741B4" w:rsidRDefault="00A741B4" w:rsidP="00A741B4">
      <w:pPr>
        <w:pStyle w:val="NormalWeb"/>
        <w:spacing w:line="480" w:lineRule="auto"/>
        <w:contextualSpacing/>
      </w:pPr>
    </w:p>
    <w:p w:rsidR="00A741B4" w:rsidRDefault="00A741B4" w:rsidP="00A741B4">
      <w:pPr>
        <w:pStyle w:val="NormalWeb"/>
        <w:spacing w:line="480" w:lineRule="auto"/>
        <w:contextualSpacing/>
      </w:pPr>
    </w:p>
    <w:p w:rsidR="00A741B4" w:rsidRDefault="00A741B4" w:rsidP="00A741B4">
      <w:pPr>
        <w:pStyle w:val="NormalWeb"/>
        <w:spacing w:line="480" w:lineRule="auto"/>
        <w:contextualSpacing/>
      </w:pPr>
    </w:p>
    <w:p w:rsidR="00A741B4" w:rsidRDefault="00A741B4" w:rsidP="00A741B4">
      <w:pPr>
        <w:pStyle w:val="NormalWeb"/>
        <w:spacing w:line="480" w:lineRule="auto"/>
        <w:contextualSpacing/>
      </w:pPr>
    </w:p>
    <w:p w:rsidR="00A741B4" w:rsidRDefault="00A741B4" w:rsidP="00A741B4">
      <w:pPr>
        <w:pStyle w:val="NormalWeb"/>
        <w:spacing w:line="480" w:lineRule="auto"/>
        <w:contextualSpacing/>
      </w:pPr>
    </w:p>
    <w:p w:rsidR="00A741B4" w:rsidRDefault="00A741B4" w:rsidP="00A741B4">
      <w:pPr>
        <w:pStyle w:val="NormalWeb"/>
        <w:spacing w:line="480" w:lineRule="auto"/>
        <w:contextualSpacing/>
      </w:pPr>
    </w:p>
    <w:p w:rsidR="00A741B4" w:rsidRDefault="00A741B4" w:rsidP="00A741B4">
      <w:pPr>
        <w:pStyle w:val="NormalWeb"/>
        <w:spacing w:line="480" w:lineRule="auto"/>
        <w:contextualSpacing/>
      </w:pPr>
    </w:p>
    <w:p w:rsidR="00A741B4" w:rsidRDefault="00A741B4" w:rsidP="00A741B4">
      <w:pPr>
        <w:pStyle w:val="NormalWeb"/>
        <w:spacing w:line="480" w:lineRule="auto"/>
        <w:contextualSpacing/>
      </w:pPr>
    </w:p>
    <w:p w:rsidR="00A741B4" w:rsidRDefault="00A741B4" w:rsidP="00A741B4">
      <w:pPr>
        <w:pStyle w:val="NormalWeb"/>
        <w:spacing w:line="480" w:lineRule="auto"/>
        <w:contextualSpacing/>
      </w:pPr>
    </w:p>
    <w:p w:rsidR="00A741B4" w:rsidRDefault="00A741B4" w:rsidP="00A741B4">
      <w:pPr>
        <w:pStyle w:val="NormalWeb"/>
        <w:spacing w:line="480" w:lineRule="auto"/>
        <w:contextualSpacing/>
      </w:pPr>
    </w:p>
    <w:p w:rsidR="00A741B4" w:rsidRDefault="00A741B4" w:rsidP="00A741B4">
      <w:pPr>
        <w:pStyle w:val="NormalWeb"/>
        <w:spacing w:line="480" w:lineRule="auto"/>
        <w:contextualSpacing/>
      </w:pPr>
    </w:p>
    <w:p w:rsidR="00A741B4" w:rsidRDefault="00A741B4" w:rsidP="00A741B4">
      <w:pPr>
        <w:pStyle w:val="NormalWeb"/>
        <w:spacing w:line="480" w:lineRule="auto"/>
        <w:contextualSpacing/>
      </w:pPr>
    </w:p>
    <w:p w:rsidR="00A741B4" w:rsidRDefault="00A741B4" w:rsidP="00A741B4">
      <w:pPr>
        <w:pStyle w:val="NormalWeb"/>
        <w:spacing w:line="480" w:lineRule="auto"/>
        <w:contextualSpacing/>
      </w:pPr>
    </w:p>
    <w:p w:rsidR="00A741B4" w:rsidRDefault="00A741B4" w:rsidP="00A741B4">
      <w:pPr>
        <w:pStyle w:val="NormalWeb"/>
        <w:spacing w:line="480" w:lineRule="auto"/>
        <w:contextualSpacing/>
      </w:pPr>
    </w:p>
    <w:p w:rsidR="00A741B4" w:rsidRDefault="00A741B4" w:rsidP="00A741B4">
      <w:pPr>
        <w:pStyle w:val="NormalWeb"/>
        <w:spacing w:line="480" w:lineRule="auto"/>
        <w:contextualSpacing/>
      </w:pPr>
    </w:p>
    <w:p w:rsidR="00A741B4" w:rsidRDefault="00A741B4" w:rsidP="00A741B4">
      <w:pPr>
        <w:pStyle w:val="NormalWeb"/>
        <w:spacing w:line="480" w:lineRule="auto"/>
        <w:contextualSpacing/>
      </w:pPr>
    </w:p>
    <w:p w:rsidR="00A741B4" w:rsidRDefault="00A741B4" w:rsidP="00A741B4">
      <w:pPr>
        <w:pStyle w:val="NormalWeb"/>
        <w:spacing w:line="480" w:lineRule="auto"/>
        <w:contextualSpacing/>
      </w:pPr>
    </w:p>
    <w:p w:rsidR="00A741B4" w:rsidRDefault="00A741B4" w:rsidP="00A741B4">
      <w:pPr>
        <w:pStyle w:val="NormalWeb"/>
        <w:spacing w:line="480" w:lineRule="auto"/>
        <w:contextualSpacing/>
      </w:pPr>
    </w:p>
    <w:p w:rsidR="00A741B4" w:rsidRDefault="00A741B4" w:rsidP="00A741B4">
      <w:pPr>
        <w:pStyle w:val="NormalWeb"/>
        <w:spacing w:line="480" w:lineRule="auto"/>
        <w:contextualSpacing/>
        <w:jc w:val="center"/>
        <w:rPr>
          <w:b/>
        </w:rPr>
      </w:pPr>
      <w:r>
        <w:rPr>
          <w:b/>
        </w:rPr>
        <w:lastRenderedPageBreak/>
        <w:t>References</w:t>
      </w:r>
    </w:p>
    <w:p w:rsidR="00701C33" w:rsidRDefault="00701C33" w:rsidP="00701C33">
      <w:pPr>
        <w:pStyle w:val="NormalWeb"/>
        <w:spacing w:before="0" w:beforeAutospacing="0" w:after="0" w:afterAutospacing="0" w:line="480" w:lineRule="auto"/>
        <w:ind w:left="720" w:hanging="720"/>
        <w:rPr>
          <w:rStyle w:val="url"/>
          <w:rFonts w:eastAsiaTheme="majorEastAsia"/>
        </w:rPr>
      </w:pPr>
      <w:proofErr w:type="spellStart"/>
      <w:r>
        <w:t>Nilou</w:t>
      </w:r>
      <w:proofErr w:type="spellEnd"/>
      <w:r>
        <w:t xml:space="preserve">, F. E., </w:t>
      </w:r>
      <w:proofErr w:type="spellStart"/>
      <w:r>
        <w:t>Christoffersen</w:t>
      </w:r>
      <w:proofErr w:type="spellEnd"/>
      <w:r>
        <w:t xml:space="preserve">, N. B., </w:t>
      </w:r>
      <w:proofErr w:type="spellStart"/>
      <w:r>
        <w:t>Lian</w:t>
      </w:r>
      <w:proofErr w:type="spellEnd"/>
      <w:r>
        <w:t xml:space="preserve">, O. S., </w:t>
      </w:r>
      <w:proofErr w:type="spellStart"/>
      <w:r>
        <w:t>Guassora</w:t>
      </w:r>
      <w:proofErr w:type="spellEnd"/>
      <w:r>
        <w:t xml:space="preserve">, A. D., &amp; </w:t>
      </w:r>
      <w:proofErr w:type="spellStart"/>
      <w:r>
        <w:t>Broholm-Jørgensen</w:t>
      </w:r>
      <w:proofErr w:type="spellEnd"/>
      <w:r>
        <w:t xml:space="preserve">, M. (2024). Conceptualizing negotiation in the clinical encounter – a scoping review using principles from critical interpretive synthesis. </w:t>
      </w:r>
      <w:r>
        <w:rPr>
          <w:i/>
          <w:iCs/>
        </w:rPr>
        <w:t>Patient Education and Counseling</w:t>
      </w:r>
      <w:r>
        <w:t xml:space="preserve">, </w:t>
      </w:r>
      <w:r>
        <w:rPr>
          <w:i/>
          <w:iCs/>
        </w:rPr>
        <w:t>121</w:t>
      </w:r>
      <w:r>
        <w:t xml:space="preserve">, 108134. </w:t>
      </w:r>
      <w:hyperlink r:id="rId6" w:history="1">
        <w:r w:rsidR="000630D6" w:rsidRPr="009F42E9">
          <w:rPr>
            <w:rStyle w:val="Hyperlink"/>
            <w:rFonts w:eastAsiaTheme="majorEastAsia"/>
          </w:rPr>
          <w:t>https://doi.org/10.1016/j.pec.2024.108134</w:t>
        </w:r>
      </w:hyperlink>
    </w:p>
    <w:p w:rsidR="00701C33" w:rsidRDefault="00701C33" w:rsidP="00701C33">
      <w:pPr>
        <w:pStyle w:val="NormalWeb"/>
        <w:spacing w:before="0" w:beforeAutospacing="0" w:after="0" w:afterAutospacing="0" w:line="480" w:lineRule="auto"/>
        <w:ind w:left="720" w:hanging="720"/>
        <w:rPr>
          <w:rStyle w:val="url"/>
          <w:rFonts w:eastAsiaTheme="majorEastAsia"/>
        </w:rPr>
      </w:pPr>
      <w:proofErr w:type="spellStart"/>
      <w:r>
        <w:t>Jaiswal</w:t>
      </w:r>
      <w:proofErr w:type="spellEnd"/>
      <w:r>
        <w:t xml:space="preserve">, A., Fraser, S., &amp; </w:t>
      </w:r>
      <w:proofErr w:type="spellStart"/>
      <w:r>
        <w:t>Wittich</w:t>
      </w:r>
      <w:proofErr w:type="spellEnd"/>
      <w:r>
        <w:t xml:space="preserve">, W. (2020). Barriers and facilitators that influence social participation in older adults with dual sensory impairment. </w:t>
      </w:r>
      <w:r>
        <w:rPr>
          <w:i/>
          <w:iCs/>
        </w:rPr>
        <w:t>Frontiers in Education</w:t>
      </w:r>
      <w:r>
        <w:t xml:space="preserve">, </w:t>
      </w:r>
      <w:r>
        <w:rPr>
          <w:i/>
          <w:iCs/>
        </w:rPr>
        <w:t>5</w:t>
      </w:r>
      <w:r>
        <w:t xml:space="preserve">. </w:t>
      </w:r>
      <w:hyperlink r:id="rId7" w:history="1">
        <w:r w:rsidR="000630D6" w:rsidRPr="009F42E9">
          <w:rPr>
            <w:rStyle w:val="Hyperlink"/>
            <w:rFonts w:eastAsiaTheme="majorEastAsia"/>
          </w:rPr>
          <w:t>https://doi.org/10.3389/feduc.2020.00127</w:t>
        </w:r>
      </w:hyperlink>
    </w:p>
    <w:p w:rsidR="00701C33" w:rsidRDefault="00701C33" w:rsidP="00701C33">
      <w:pPr>
        <w:pStyle w:val="NormalWeb"/>
        <w:spacing w:before="0" w:beforeAutospacing="0" w:after="0" w:afterAutospacing="0" w:line="480" w:lineRule="auto"/>
        <w:ind w:left="720" w:hanging="720"/>
        <w:rPr>
          <w:rStyle w:val="url"/>
          <w:rFonts w:eastAsiaTheme="majorEastAsia"/>
        </w:rPr>
      </w:pPr>
      <w:r>
        <w:t xml:space="preserve">Hidalgo, I., </w:t>
      </w:r>
      <w:proofErr w:type="spellStart"/>
      <w:r>
        <w:t>Brooten</w:t>
      </w:r>
      <w:proofErr w:type="spellEnd"/>
      <w:r>
        <w:t xml:space="preserve">, D., </w:t>
      </w:r>
      <w:proofErr w:type="spellStart"/>
      <w:r>
        <w:t>Youngblut</w:t>
      </w:r>
      <w:proofErr w:type="spellEnd"/>
      <w:r>
        <w:t xml:space="preserve">, J. M., Roche, R., Li, J., &amp; Hinds, A. M. (2020). Practices following the death of a loved one reported by adults from 14 countries or cultural/ethnic group. </w:t>
      </w:r>
      <w:r>
        <w:rPr>
          <w:i/>
          <w:iCs/>
        </w:rPr>
        <w:t>Nursing Open</w:t>
      </w:r>
      <w:r>
        <w:t xml:space="preserve">, </w:t>
      </w:r>
      <w:r>
        <w:rPr>
          <w:i/>
          <w:iCs/>
        </w:rPr>
        <w:t>8</w:t>
      </w:r>
      <w:r>
        <w:t xml:space="preserve">(1), 453–462. </w:t>
      </w:r>
      <w:hyperlink r:id="rId8" w:history="1">
        <w:r w:rsidR="000630D6" w:rsidRPr="009F42E9">
          <w:rPr>
            <w:rStyle w:val="Hyperlink"/>
            <w:rFonts w:eastAsiaTheme="majorEastAsia"/>
          </w:rPr>
          <w:t>https://doi.org/10.1002/nop2.646</w:t>
        </w:r>
      </w:hyperlink>
    </w:p>
    <w:p w:rsidR="000630D6" w:rsidRDefault="000630D6" w:rsidP="00701C33">
      <w:pPr>
        <w:pStyle w:val="NormalWeb"/>
        <w:spacing w:before="0" w:beforeAutospacing="0" w:after="0" w:afterAutospacing="0" w:line="480" w:lineRule="auto"/>
        <w:ind w:left="720" w:hanging="720"/>
      </w:pPr>
      <w:bookmarkStart w:id="0" w:name="_GoBack"/>
      <w:bookmarkEnd w:id="0"/>
    </w:p>
    <w:p w:rsidR="00A741B4" w:rsidRPr="00A741B4" w:rsidRDefault="00A741B4" w:rsidP="00A741B4">
      <w:pPr>
        <w:pStyle w:val="NormalWeb"/>
        <w:spacing w:line="480" w:lineRule="auto"/>
        <w:contextualSpacing/>
      </w:pPr>
    </w:p>
    <w:sectPr w:rsidR="00A741B4" w:rsidRPr="00A741B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94F" w:rsidRDefault="0061494F" w:rsidP="00811763">
      <w:pPr>
        <w:spacing w:line="240" w:lineRule="auto"/>
      </w:pPr>
      <w:r>
        <w:separator/>
      </w:r>
    </w:p>
  </w:endnote>
  <w:endnote w:type="continuationSeparator" w:id="0">
    <w:p w:rsidR="0061494F" w:rsidRDefault="0061494F" w:rsidP="008117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94F" w:rsidRDefault="0061494F" w:rsidP="00811763">
      <w:pPr>
        <w:spacing w:line="240" w:lineRule="auto"/>
      </w:pPr>
      <w:r>
        <w:separator/>
      </w:r>
    </w:p>
  </w:footnote>
  <w:footnote w:type="continuationSeparator" w:id="0">
    <w:p w:rsidR="0061494F" w:rsidRDefault="0061494F" w:rsidP="008117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763" w:rsidRDefault="00811763">
    <w:pPr>
      <w:pStyle w:val="Header"/>
    </w:pPr>
    <w:r>
      <w:tab/>
    </w:r>
    <w:r>
      <w:tab/>
    </w:r>
    <w:r>
      <w:fldChar w:fldCharType="begin"/>
    </w:r>
    <w:r>
      <w:instrText xml:space="preserve"> PAGE   \* MERGEFORMAT </w:instrText>
    </w:r>
    <w:r>
      <w:fldChar w:fldCharType="separate"/>
    </w:r>
    <w:r w:rsidR="000630D6">
      <w:rPr>
        <w:noProof/>
      </w:rPr>
      <w:t>5</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czNzeztDA2NDQ3MzBU0lEKTi0uzszPAykwrAUAUNgsjywAAAA="/>
  </w:docVars>
  <w:rsids>
    <w:rsidRoot w:val="001163AA"/>
    <w:rsid w:val="000261F9"/>
    <w:rsid w:val="000322C6"/>
    <w:rsid w:val="00037FDB"/>
    <w:rsid w:val="000630D6"/>
    <w:rsid w:val="000854BA"/>
    <w:rsid w:val="001163AA"/>
    <w:rsid w:val="0016623C"/>
    <w:rsid w:val="001939B0"/>
    <w:rsid w:val="001C4A4B"/>
    <w:rsid w:val="00251A96"/>
    <w:rsid w:val="002B63B2"/>
    <w:rsid w:val="002D2008"/>
    <w:rsid w:val="00305638"/>
    <w:rsid w:val="00322BFF"/>
    <w:rsid w:val="00345FC3"/>
    <w:rsid w:val="003840CA"/>
    <w:rsid w:val="00482951"/>
    <w:rsid w:val="00497959"/>
    <w:rsid w:val="004E29D2"/>
    <w:rsid w:val="005023AC"/>
    <w:rsid w:val="00521782"/>
    <w:rsid w:val="005568E0"/>
    <w:rsid w:val="00607F11"/>
    <w:rsid w:val="0061494F"/>
    <w:rsid w:val="00627264"/>
    <w:rsid w:val="00672909"/>
    <w:rsid w:val="00677C2E"/>
    <w:rsid w:val="006837EE"/>
    <w:rsid w:val="006B2189"/>
    <w:rsid w:val="00701C33"/>
    <w:rsid w:val="00710C34"/>
    <w:rsid w:val="00711839"/>
    <w:rsid w:val="00727F7E"/>
    <w:rsid w:val="00760267"/>
    <w:rsid w:val="00767465"/>
    <w:rsid w:val="007B6A4A"/>
    <w:rsid w:val="00811763"/>
    <w:rsid w:val="00875143"/>
    <w:rsid w:val="00954C1A"/>
    <w:rsid w:val="0096054A"/>
    <w:rsid w:val="00972CEE"/>
    <w:rsid w:val="00A35471"/>
    <w:rsid w:val="00A52031"/>
    <w:rsid w:val="00A741B4"/>
    <w:rsid w:val="00A836CC"/>
    <w:rsid w:val="00AD11EA"/>
    <w:rsid w:val="00AD1DE9"/>
    <w:rsid w:val="00AE25FA"/>
    <w:rsid w:val="00BA465C"/>
    <w:rsid w:val="00BC343B"/>
    <w:rsid w:val="00BE6715"/>
    <w:rsid w:val="00C932F5"/>
    <w:rsid w:val="00CC6C43"/>
    <w:rsid w:val="00CD41A2"/>
    <w:rsid w:val="00D24DBB"/>
    <w:rsid w:val="00D437D8"/>
    <w:rsid w:val="00DB2FBC"/>
    <w:rsid w:val="00DD3F69"/>
    <w:rsid w:val="00E54DA3"/>
    <w:rsid w:val="00E55729"/>
    <w:rsid w:val="00E93F35"/>
    <w:rsid w:val="00E95512"/>
    <w:rsid w:val="00E97FC8"/>
    <w:rsid w:val="00FE0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AED96"/>
  <w15:chartTrackingRefBased/>
  <w15:docId w15:val="{D79E848B-5B56-44AC-A452-D4543CE6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oks"/>
    <w:qFormat/>
    <w:rsid w:val="005023AC"/>
    <w:pPr>
      <w:spacing w:after="0" w:line="480" w:lineRule="auto"/>
      <w:contextualSpacing/>
    </w:pPr>
    <w:rPr>
      <w:rFonts w:ascii="Times New Roman" w:hAnsi="Times New Roman" w:cs="Arial"/>
      <w:color w:val="000000"/>
      <w:sz w:val="24"/>
      <w:szCs w:val="24"/>
    </w:rPr>
  </w:style>
  <w:style w:type="paragraph" w:styleId="Heading1">
    <w:name w:val="heading 1"/>
    <w:basedOn w:val="Normal"/>
    <w:next w:val="Normal"/>
    <w:link w:val="Heading1Char"/>
    <w:uiPriority w:val="9"/>
    <w:qFormat/>
    <w:rsid w:val="007B6A4A"/>
    <w:pPr>
      <w:keepNext/>
      <w:keepLines/>
      <w:spacing w:before="120"/>
      <w:jc w:val="center"/>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875143"/>
    <w:pPr>
      <w:keepNext/>
      <w:keepLines/>
      <w:outlineLvl w:val="1"/>
    </w:pPr>
    <w:rPr>
      <w:rFonts w:eastAsiaTheme="majorEastAsia" w:cstheme="majorBidi"/>
      <w:b/>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A4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semiHidden/>
    <w:rsid w:val="00875143"/>
    <w:rPr>
      <w:rFonts w:ascii="Times New Roman" w:eastAsiaTheme="majorEastAsia" w:hAnsi="Times New Roman" w:cstheme="majorBidi"/>
      <w:b/>
      <w:sz w:val="24"/>
      <w:szCs w:val="26"/>
    </w:rPr>
  </w:style>
  <w:style w:type="paragraph" w:styleId="NormalWeb">
    <w:name w:val="Normal (Web)"/>
    <w:basedOn w:val="Normal"/>
    <w:uiPriority w:val="99"/>
    <w:unhideWhenUsed/>
    <w:rsid w:val="001163AA"/>
    <w:pPr>
      <w:spacing w:before="100" w:beforeAutospacing="1" w:after="100" w:afterAutospacing="1" w:line="240" w:lineRule="auto"/>
      <w:contextualSpacing w:val="0"/>
    </w:pPr>
    <w:rPr>
      <w:rFonts w:eastAsia="Times New Roman" w:cs="Times New Roman"/>
      <w:color w:val="auto"/>
    </w:rPr>
  </w:style>
  <w:style w:type="character" w:styleId="Strong">
    <w:name w:val="Strong"/>
    <w:basedOn w:val="DefaultParagraphFont"/>
    <w:uiPriority w:val="22"/>
    <w:qFormat/>
    <w:rsid w:val="001163AA"/>
    <w:rPr>
      <w:b/>
      <w:bCs/>
    </w:rPr>
  </w:style>
  <w:style w:type="paragraph" w:styleId="Header">
    <w:name w:val="header"/>
    <w:basedOn w:val="Normal"/>
    <w:link w:val="HeaderChar"/>
    <w:uiPriority w:val="99"/>
    <w:unhideWhenUsed/>
    <w:rsid w:val="00811763"/>
    <w:pPr>
      <w:tabs>
        <w:tab w:val="center" w:pos="4680"/>
        <w:tab w:val="right" w:pos="9360"/>
      </w:tabs>
      <w:spacing w:line="240" w:lineRule="auto"/>
    </w:pPr>
  </w:style>
  <w:style w:type="character" w:customStyle="1" w:styleId="HeaderChar">
    <w:name w:val="Header Char"/>
    <w:basedOn w:val="DefaultParagraphFont"/>
    <w:link w:val="Header"/>
    <w:uiPriority w:val="99"/>
    <w:rsid w:val="00811763"/>
    <w:rPr>
      <w:rFonts w:ascii="Times New Roman" w:hAnsi="Times New Roman" w:cs="Arial"/>
      <w:color w:val="000000"/>
      <w:sz w:val="24"/>
      <w:szCs w:val="24"/>
    </w:rPr>
  </w:style>
  <w:style w:type="paragraph" w:styleId="Footer">
    <w:name w:val="footer"/>
    <w:basedOn w:val="Normal"/>
    <w:link w:val="FooterChar"/>
    <w:uiPriority w:val="99"/>
    <w:unhideWhenUsed/>
    <w:rsid w:val="00811763"/>
    <w:pPr>
      <w:tabs>
        <w:tab w:val="center" w:pos="4680"/>
        <w:tab w:val="right" w:pos="9360"/>
      </w:tabs>
      <w:spacing w:line="240" w:lineRule="auto"/>
    </w:pPr>
  </w:style>
  <w:style w:type="character" w:customStyle="1" w:styleId="FooterChar">
    <w:name w:val="Footer Char"/>
    <w:basedOn w:val="DefaultParagraphFont"/>
    <w:link w:val="Footer"/>
    <w:uiPriority w:val="99"/>
    <w:rsid w:val="00811763"/>
    <w:rPr>
      <w:rFonts w:ascii="Times New Roman" w:hAnsi="Times New Roman" w:cs="Arial"/>
      <w:color w:val="000000"/>
      <w:sz w:val="24"/>
      <w:szCs w:val="24"/>
    </w:rPr>
  </w:style>
  <w:style w:type="character" w:customStyle="1" w:styleId="url">
    <w:name w:val="url"/>
    <w:basedOn w:val="DefaultParagraphFont"/>
    <w:rsid w:val="00701C33"/>
  </w:style>
  <w:style w:type="character" w:styleId="Hyperlink">
    <w:name w:val="Hyperlink"/>
    <w:basedOn w:val="DefaultParagraphFont"/>
    <w:uiPriority w:val="99"/>
    <w:unhideWhenUsed/>
    <w:rsid w:val="000630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665853">
      <w:bodyDiv w:val="1"/>
      <w:marLeft w:val="0"/>
      <w:marRight w:val="0"/>
      <w:marTop w:val="0"/>
      <w:marBottom w:val="0"/>
      <w:divBdr>
        <w:top w:val="none" w:sz="0" w:space="0" w:color="auto"/>
        <w:left w:val="none" w:sz="0" w:space="0" w:color="auto"/>
        <w:bottom w:val="none" w:sz="0" w:space="0" w:color="auto"/>
        <w:right w:val="none" w:sz="0" w:space="0" w:color="auto"/>
      </w:divBdr>
      <w:divsChild>
        <w:div w:id="823620433">
          <w:marLeft w:val="0"/>
          <w:marRight w:val="0"/>
          <w:marTop w:val="0"/>
          <w:marBottom w:val="0"/>
          <w:divBdr>
            <w:top w:val="none" w:sz="0" w:space="0" w:color="auto"/>
            <w:left w:val="none" w:sz="0" w:space="0" w:color="auto"/>
            <w:bottom w:val="none" w:sz="0" w:space="0" w:color="auto"/>
            <w:right w:val="none" w:sz="0" w:space="0" w:color="auto"/>
          </w:divBdr>
          <w:divsChild>
            <w:div w:id="1600605230">
              <w:marLeft w:val="0"/>
              <w:marRight w:val="0"/>
              <w:marTop w:val="0"/>
              <w:marBottom w:val="0"/>
              <w:divBdr>
                <w:top w:val="none" w:sz="0" w:space="0" w:color="auto"/>
                <w:left w:val="none" w:sz="0" w:space="0" w:color="auto"/>
                <w:bottom w:val="none" w:sz="0" w:space="0" w:color="auto"/>
                <w:right w:val="none" w:sz="0" w:space="0" w:color="auto"/>
              </w:divBdr>
              <w:divsChild>
                <w:div w:id="361057741">
                  <w:marLeft w:val="0"/>
                  <w:marRight w:val="0"/>
                  <w:marTop w:val="0"/>
                  <w:marBottom w:val="0"/>
                  <w:divBdr>
                    <w:top w:val="none" w:sz="0" w:space="0" w:color="auto"/>
                    <w:left w:val="none" w:sz="0" w:space="0" w:color="auto"/>
                    <w:bottom w:val="none" w:sz="0" w:space="0" w:color="auto"/>
                    <w:right w:val="none" w:sz="0" w:space="0" w:color="auto"/>
                  </w:divBdr>
                  <w:divsChild>
                    <w:div w:id="33477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28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nop2.646" TargetMode="External"/><Relationship Id="rId3" Type="http://schemas.openxmlformats.org/officeDocument/2006/relationships/webSettings" Target="webSettings.xml"/><Relationship Id="rId7" Type="http://schemas.openxmlformats.org/officeDocument/2006/relationships/hyperlink" Target="https://doi.org/10.3389/feduc.2020.001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j.pec.2024.10813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6</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Windows User</cp:lastModifiedBy>
  <cp:revision>39</cp:revision>
  <dcterms:created xsi:type="dcterms:W3CDTF">2024-08-09T09:35:00Z</dcterms:created>
  <dcterms:modified xsi:type="dcterms:W3CDTF">2024-08-09T18:14:00Z</dcterms:modified>
</cp:coreProperties>
</file>