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7D20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4364AC8E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18D4CBBF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2A9F6DD4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1426E4A5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2A225EA8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32ABDF8A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7C2AB935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619FCAA7" w14:textId="77777777" w:rsidR="009A0752" w:rsidRPr="009A0752" w:rsidRDefault="009A0752" w:rsidP="009A0752">
      <w:pPr>
        <w:contextualSpacing/>
        <w:jc w:val="center"/>
        <w:rPr>
          <w:b/>
          <w:bCs/>
        </w:rPr>
      </w:pPr>
      <w:r w:rsidRPr="009A0752">
        <w:rPr>
          <w:b/>
          <w:bCs/>
        </w:rPr>
        <w:t>Drug Therapy</w:t>
      </w:r>
    </w:p>
    <w:p w14:paraId="19BD6991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75E8B38D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75ABFF1A" w14:textId="77777777" w:rsidR="009A0752" w:rsidRDefault="009A0752" w:rsidP="009A0752">
      <w:pPr>
        <w:contextualSpacing/>
        <w:jc w:val="center"/>
        <w:rPr>
          <w:b/>
          <w:bCs/>
        </w:rPr>
      </w:pPr>
    </w:p>
    <w:p w14:paraId="10113706" w14:textId="56B989B1" w:rsidR="009A0752" w:rsidRDefault="009A0752" w:rsidP="009A0752">
      <w:pPr>
        <w:contextualSpacing/>
        <w:jc w:val="center"/>
      </w:pPr>
      <w:r>
        <w:t>Student</w:t>
      </w:r>
    </w:p>
    <w:p w14:paraId="0FC0C4B7" w14:textId="5D9CC856" w:rsidR="009A0752" w:rsidRDefault="009A0752" w:rsidP="009A0752">
      <w:pPr>
        <w:contextualSpacing/>
        <w:jc w:val="center"/>
      </w:pPr>
      <w:r>
        <w:t>Institution</w:t>
      </w:r>
    </w:p>
    <w:p w14:paraId="419AB02D" w14:textId="2B1DAEA3" w:rsidR="009A0752" w:rsidRDefault="009A0752" w:rsidP="009A0752">
      <w:pPr>
        <w:contextualSpacing/>
        <w:jc w:val="center"/>
      </w:pPr>
      <w:r>
        <w:t>Instructor Name</w:t>
      </w:r>
    </w:p>
    <w:p w14:paraId="5E039D27" w14:textId="721E7329" w:rsidR="009A0752" w:rsidRDefault="009A0752" w:rsidP="009A0752">
      <w:pPr>
        <w:contextualSpacing/>
        <w:jc w:val="center"/>
      </w:pPr>
      <w:r>
        <w:t>Course</w:t>
      </w:r>
    </w:p>
    <w:p w14:paraId="1534E8CE" w14:textId="74C76282" w:rsidR="009A0752" w:rsidRDefault="009A0752" w:rsidP="009A0752">
      <w:pPr>
        <w:contextualSpacing/>
        <w:jc w:val="center"/>
      </w:pPr>
      <w:r>
        <w:t>Date</w:t>
      </w:r>
    </w:p>
    <w:p w14:paraId="201AFC41" w14:textId="77777777" w:rsidR="009A0752" w:rsidRDefault="009A0752">
      <w:pPr>
        <w:spacing w:after="160" w:line="259" w:lineRule="auto"/>
      </w:pPr>
      <w:r>
        <w:br w:type="page"/>
      </w:r>
    </w:p>
    <w:p w14:paraId="3F903AD4" w14:textId="655485D8" w:rsidR="00352FE6" w:rsidRPr="009A0752" w:rsidRDefault="00122341" w:rsidP="009A0752">
      <w:pPr>
        <w:contextualSpacing/>
        <w:jc w:val="center"/>
        <w:rPr>
          <w:b/>
          <w:bCs/>
        </w:rPr>
      </w:pPr>
      <w:r w:rsidRPr="009A0752">
        <w:rPr>
          <w:b/>
          <w:bCs/>
        </w:rPr>
        <w:lastRenderedPageBreak/>
        <w:t>Drug Therapy</w:t>
      </w:r>
    </w:p>
    <w:p w14:paraId="29ED40E1" w14:textId="1ACCC67B" w:rsidR="00122341" w:rsidRPr="0069787E" w:rsidRDefault="00122341" w:rsidP="009A0752">
      <w:pPr>
        <w:contextualSpacing/>
        <w:rPr>
          <w:b/>
          <w:bCs/>
        </w:rPr>
      </w:pPr>
      <w:r w:rsidRPr="0069787E">
        <w:rPr>
          <w:b/>
          <w:bCs/>
        </w:rPr>
        <w:t>Question One</w:t>
      </w:r>
    </w:p>
    <w:p w14:paraId="3CE72A16" w14:textId="09E06CBE" w:rsidR="00122341" w:rsidRDefault="00122341" w:rsidP="009A0752">
      <w:pPr>
        <w:contextualSpacing/>
      </w:pPr>
      <w:r>
        <w:t xml:space="preserve">Some of the treatment interventions/ pharmacotherapies </w:t>
      </w:r>
      <w:r>
        <w:t>approved</w:t>
      </w:r>
      <w:r>
        <w:t xml:space="preserve"> by the Food and Drug Administration include Naltrexone, Disulfiram, and Acamprosate combined with Escitalopram.</w:t>
      </w:r>
    </w:p>
    <w:p w14:paraId="362C82AF" w14:textId="405B378C" w:rsidR="00122341" w:rsidRDefault="00122341" w:rsidP="009A0752">
      <w:pPr>
        <w:pStyle w:val="ListParagraph"/>
        <w:numPr>
          <w:ilvl w:val="0"/>
          <w:numId w:val="2"/>
        </w:numPr>
      </w:pPr>
      <w:r>
        <w:t xml:space="preserve">Acamprosate integrated with Escitalopram – </w:t>
      </w:r>
      <w:r w:rsidRPr="00122341">
        <w:t xml:space="preserve">It is used to assist those who have discontinued consuming substantial quantities of alcoholic beverages. Besides, in conjunction with social support and </w:t>
      </w:r>
      <w:r w:rsidR="00E2591A">
        <w:t>counseling</w:t>
      </w:r>
      <w:r w:rsidRPr="00122341">
        <w:t>, this drug assists these people stop drinking alcohol once more. The drug's</w:t>
      </w:r>
      <w:r>
        <w:t xml:space="preserve"> </w:t>
      </w:r>
      <w:r w:rsidRPr="00122341">
        <w:t>maximum absorption time is 6 hours, while its maximum elimination time is more than 30 hours. </w:t>
      </w:r>
      <w:r>
        <w:t>Also, Escitalopram is applied in treating depression and anxiety as well as aid in the restoration of serotonin’s equilibrium.</w:t>
      </w:r>
      <w:r w:rsidR="00E2591A">
        <w:t xml:space="preserve"> It takes close to two weeks before one begins feeling its effects. Notably, Escitalopram needs to be taken cautiously by patients who are also under lithium, tricyclic antidepressants, and triptans.</w:t>
      </w:r>
    </w:p>
    <w:p w14:paraId="220890AF" w14:textId="79FDA8F3" w:rsidR="00122341" w:rsidRDefault="00122341" w:rsidP="009A0752">
      <w:pPr>
        <w:pStyle w:val="ListParagraph"/>
        <w:numPr>
          <w:ilvl w:val="0"/>
          <w:numId w:val="2"/>
        </w:numPr>
      </w:pPr>
      <w:r>
        <w:t>Disulfiram</w:t>
      </w:r>
      <w:r>
        <w:t xml:space="preserve"> – It functions to prevent the body from properly digesting and absorbing alcohol, which leads to a number of extremely unpleasant side effects including elevated blood pressure, body weakness, perspiration, headaches, nausea, skin flushing, and vomiting (</w:t>
      </w:r>
      <w:r w:rsidR="00E2591A" w:rsidRPr="007468CF">
        <w:rPr>
          <w:rFonts w:cs="Times New Roman"/>
          <w:color w:val="222222"/>
          <w:szCs w:val="24"/>
          <w:shd w:val="clear" w:color="auto" w:fill="FFFFFF"/>
        </w:rPr>
        <w:t>Stokes &amp; Abdijadid, 201</w:t>
      </w:r>
      <w:r w:rsidR="00E2591A">
        <w:rPr>
          <w:rFonts w:cs="Times New Roman"/>
          <w:color w:val="222222"/>
          <w:szCs w:val="24"/>
          <w:shd w:val="clear" w:color="auto" w:fill="FFFFFF"/>
        </w:rPr>
        <w:t>7</w:t>
      </w:r>
      <w:r>
        <w:t>). Moreover, it prevents alcohol dehydrogenase from performing its function. It must be administered after the patient has completed the initiation phase of detox and withdrawal, attained a zero blood-alcohol level, and achieved at least a 12-</w:t>
      </w:r>
      <w:r w:rsidR="00E2591A">
        <w:t>hours</w:t>
      </w:r>
      <w:r>
        <w:t xml:space="preserve"> alcohol </w:t>
      </w:r>
      <w:r w:rsidR="00E2591A">
        <w:t>abstinence</w:t>
      </w:r>
      <w:r>
        <w:t>.</w:t>
      </w:r>
      <w:r w:rsidR="00E2591A">
        <w:t xml:space="preserve"> The body can take close to a fortnight to produce enough unbound enzymes to properly achieve alcohol metabolisms.</w:t>
      </w:r>
    </w:p>
    <w:p w14:paraId="24F9109E" w14:textId="19F7DBCE" w:rsidR="00122341" w:rsidRDefault="00E2591A" w:rsidP="009A0752">
      <w:pPr>
        <w:pStyle w:val="ListParagraph"/>
        <w:numPr>
          <w:ilvl w:val="0"/>
          <w:numId w:val="2"/>
        </w:numPr>
      </w:pPr>
      <w:r>
        <w:lastRenderedPageBreak/>
        <w:t>Naltrexone</w:t>
      </w:r>
      <w:r>
        <w:t xml:space="preserve"> – </w:t>
      </w:r>
      <w:r>
        <w:t>It lessens alcohol as well as its rewarding qualities. It is a remedy for individuals who have succeeded in avoiding alcohol in an outpatient environment prior to starting treatment.</w:t>
      </w:r>
      <w:r>
        <w:t xml:space="preserve"> </w:t>
      </w:r>
      <w:r>
        <w:t>Within an hour of dosage, oral naltrexone reaches its highest plasma levels</w:t>
      </w:r>
      <w:r w:rsidR="002B2E98">
        <w:t xml:space="preserve"> (</w:t>
      </w:r>
      <w:r w:rsidR="002B2E98" w:rsidRPr="007468CF">
        <w:rPr>
          <w:rFonts w:cs="Times New Roman"/>
          <w:color w:val="222222"/>
          <w:szCs w:val="24"/>
          <w:shd w:val="clear" w:color="auto" w:fill="FFFFFF"/>
        </w:rPr>
        <w:t>Aboujaoude &amp; Salame, 2016</w:t>
      </w:r>
      <w:r w:rsidR="002B2E98">
        <w:rPr>
          <w:rFonts w:cs="Times New Roman"/>
          <w:color w:val="222222"/>
          <w:szCs w:val="24"/>
          <w:shd w:val="clear" w:color="auto" w:fill="FFFFFF"/>
        </w:rPr>
        <w:t>)</w:t>
      </w:r>
      <w:r>
        <w:t>. The primary cause of the characteristics of naltrexone is tp\o 6-B naltrexol, with a 13-hour eradication half-life. After the rapid development of therapeutic success with the drug,</w:t>
      </w:r>
      <w:r>
        <w:t xml:space="preserve"> </w:t>
      </w:r>
      <w:r>
        <w:t xml:space="preserve">starting the oral dose. (50mg one </w:t>
      </w:r>
      <w:r w:rsidR="00743B67">
        <w:t>time</w:t>
      </w:r>
      <w:r>
        <w:t xml:space="preserve"> a day for fewer than or equivalent to 3 months, per Orem. IM - each month, 380 mg </w:t>
      </w:r>
      <w:r w:rsidR="00743B67">
        <w:t>is</w:t>
      </w:r>
      <w:r>
        <w:t xml:space="preserve"> administered into the gluteal muscle to maintain abstinence</w:t>
      </w:r>
      <w:r>
        <w:t>)</w:t>
      </w:r>
      <w:r>
        <w:t>.</w:t>
      </w:r>
      <w:r w:rsidR="00564CE7">
        <w:t xml:space="preserve"> </w:t>
      </w:r>
      <w:r w:rsidR="00564CE7" w:rsidRPr="00564CE7">
        <w:t>Patients who use opioid medications and illegal narcotics need to administer naltrexone cautiously since it can have significant side effects like coma</w:t>
      </w:r>
      <w:r w:rsidR="00564CE7">
        <w:t xml:space="preserve"> (</w:t>
      </w:r>
      <w:r w:rsidR="00564CE7" w:rsidRPr="007468CF">
        <w:rPr>
          <w:rFonts w:cs="Times New Roman"/>
          <w:color w:val="222222"/>
          <w:szCs w:val="24"/>
          <w:shd w:val="clear" w:color="auto" w:fill="FFFFFF"/>
        </w:rPr>
        <w:t>Aboujaoude &amp; Salame, 2016</w:t>
      </w:r>
      <w:r w:rsidR="00564CE7">
        <w:rPr>
          <w:rFonts w:cs="Times New Roman"/>
          <w:color w:val="222222"/>
          <w:szCs w:val="24"/>
          <w:shd w:val="clear" w:color="auto" w:fill="FFFFFF"/>
        </w:rPr>
        <w:t>)</w:t>
      </w:r>
      <w:r w:rsidR="00564CE7">
        <w:t>.</w:t>
      </w:r>
    </w:p>
    <w:p w14:paraId="267189D2" w14:textId="09CEC291" w:rsidR="004F5421" w:rsidRPr="0069787E" w:rsidRDefault="004F5421" w:rsidP="009A0752">
      <w:pPr>
        <w:contextualSpacing/>
        <w:rPr>
          <w:b/>
          <w:bCs/>
        </w:rPr>
      </w:pPr>
      <w:r w:rsidRPr="0069787E">
        <w:rPr>
          <w:b/>
          <w:bCs/>
        </w:rPr>
        <w:t>Question Two</w:t>
      </w:r>
    </w:p>
    <w:p w14:paraId="0F96F459" w14:textId="77777777" w:rsidR="004F5421" w:rsidRDefault="004F5421" w:rsidP="009A0752">
      <w:pPr>
        <w:contextualSpacing/>
      </w:pPr>
      <w:r>
        <w:t>They include;</w:t>
      </w:r>
    </w:p>
    <w:p w14:paraId="414E2781" w14:textId="67847124" w:rsidR="004F5421" w:rsidRDefault="004F5421" w:rsidP="009A0752">
      <w:pPr>
        <w:pStyle w:val="ListParagraph"/>
        <w:numPr>
          <w:ilvl w:val="0"/>
          <w:numId w:val="3"/>
        </w:numPr>
      </w:pPr>
      <w:r>
        <w:t>Mental health disorders like depression</w:t>
      </w:r>
    </w:p>
    <w:p w14:paraId="6A783991" w14:textId="3531A50F" w:rsidR="004F5421" w:rsidRDefault="004F5421" w:rsidP="009A0752">
      <w:pPr>
        <w:pStyle w:val="ListParagraph"/>
        <w:numPr>
          <w:ilvl w:val="0"/>
          <w:numId w:val="3"/>
        </w:numPr>
      </w:pPr>
      <w:r>
        <w:t>Being Female</w:t>
      </w:r>
    </w:p>
    <w:p w14:paraId="7371DBB0" w14:textId="48E305AC" w:rsidR="004F5421" w:rsidRDefault="004F5421" w:rsidP="009A0752">
      <w:pPr>
        <w:pStyle w:val="ListParagraph"/>
        <w:numPr>
          <w:ilvl w:val="0"/>
          <w:numId w:val="3"/>
        </w:numPr>
      </w:pPr>
      <w:r>
        <w:t>Chronic physical conditions such as cognitive impairment, heart failure, and respiratory disorders).</w:t>
      </w:r>
    </w:p>
    <w:p w14:paraId="485D8016" w14:textId="21B6256A" w:rsidR="004F5421" w:rsidRDefault="004F5421" w:rsidP="009A0752">
      <w:pPr>
        <w:pStyle w:val="ListParagraph"/>
        <w:numPr>
          <w:ilvl w:val="0"/>
          <w:numId w:val="3"/>
        </w:numPr>
      </w:pPr>
      <w:r>
        <w:t>Unfortunate life occurrences.</w:t>
      </w:r>
    </w:p>
    <w:p w14:paraId="42E0B6DC" w14:textId="1E331F3F" w:rsidR="004F5421" w:rsidRPr="0069787E" w:rsidRDefault="004F5421" w:rsidP="009A0752">
      <w:pPr>
        <w:contextualSpacing/>
        <w:rPr>
          <w:b/>
          <w:bCs/>
        </w:rPr>
      </w:pPr>
      <w:r w:rsidRPr="0069787E">
        <w:rPr>
          <w:b/>
          <w:bCs/>
        </w:rPr>
        <w:t>Question Three</w:t>
      </w:r>
    </w:p>
    <w:p w14:paraId="2A427CF2" w14:textId="6A5C6635" w:rsidR="004F5421" w:rsidRDefault="004F5421" w:rsidP="009A0752">
      <w:pPr>
        <w:pStyle w:val="ListParagraph"/>
        <w:numPr>
          <w:ilvl w:val="0"/>
          <w:numId w:val="4"/>
        </w:numPr>
      </w:pPr>
      <w:r>
        <w:t xml:space="preserve">Genes affecting the metabolism of Serotonin. </w:t>
      </w:r>
    </w:p>
    <w:p w14:paraId="134E0F8C" w14:textId="08990B30" w:rsidR="004F5421" w:rsidRDefault="004F5421" w:rsidP="009A0752">
      <w:pPr>
        <w:pStyle w:val="ListParagraph"/>
        <w:numPr>
          <w:ilvl w:val="0"/>
          <w:numId w:val="4"/>
        </w:numPr>
      </w:pPr>
      <w:r>
        <w:t>Toxicology mediated by glutamate</w:t>
      </w:r>
    </w:p>
    <w:p w14:paraId="34B73066" w14:textId="205CA92C" w:rsidR="004F5421" w:rsidRDefault="004F5421" w:rsidP="009A0752">
      <w:pPr>
        <w:pStyle w:val="ListParagraph"/>
        <w:numPr>
          <w:ilvl w:val="0"/>
          <w:numId w:val="4"/>
        </w:numPr>
      </w:pPr>
      <w:r>
        <w:t>Psychosocial early trauma as well as impaired hypothalamus-pituitary-adrenal axis activity</w:t>
      </w:r>
      <w:r>
        <w:t>.</w:t>
      </w:r>
    </w:p>
    <w:p w14:paraId="75C9DFAF" w14:textId="0A201380" w:rsidR="004F5421" w:rsidRDefault="004F5421" w:rsidP="009A0752">
      <w:pPr>
        <w:pStyle w:val="ListParagraph"/>
        <w:numPr>
          <w:ilvl w:val="0"/>
          <w:numId w:val="4"/>
        </w:numPr>
      </w:pPr>
      <w:r>
        <w:lastRenderedPageBreak/>
        <w:t>Reduced brain-derived neurotrophic factor concentrations</w:t>
      </w:r>
    </w:p>
    <w:p w14:paraId="5E5829E5" w14:textId="49479439" w:rsidR="004F5421" w:rsidRPr="0069787E" w:rsidRDefault="004F5421" w:rsidP="009A0752">
      <w:pPr>
        <w:contextualSpacing/>
        <w:rPr>
          <w:b/>
          <w:bCs/>
        </w:rPr>
      </w:pPr>
      <w:r w:rsidRPr="0069787E">
        <w:rPr>
          <w:b/>
          <w:bCs/>
        </w:rPr>
        <w:t>Question Four</w:t>
      </w:r>
    </w:p>
    <w:p w14:paraId="76D679E2" w14:textId="77777777" w:rsidR="004F5421" w:rsidRDefault="004F5421" w:rsidP="009A0752">
      <w:pPr>
        <w:contextualSpacing/>
      </w:pPr>
      <w:r>
        <w:t xml:space="preserve">Some of the symptoms needed for the occurrence of an episode include </w:t>
      </w:r>
    </w:p>
    <w:p w14:paraId="62DEB964" w14:textId="313EED1F" w:rsidR="004F5421" w:rsidRDefault="004F5421" w:rsidP="009A0752">
      <w:pPr>
        <w:pStyle w:val="ListParagraph"/>
        <w:numPr>
          <w:ilvl w:val="0"/>
          <w:numId w:val="5"/>
        </w:numPr>
      </w:pPr>
      <w:r>
        <w:t>Suicidal attempt or thoughts</w:t>
      </w:r>
    </w:p>
    <w:p w14:paraId="40A306C5" w14:textId="11E352D7" w:rsidR="004F5421" w:rsidRDefault="004F5421" w:rsidP="009A0752">
      <w:pPr>
        <w:pStyle w:val="ListParagraph"/>
        <w:numPr>
          <w:ilvl w:val="0"/>
          <w:numId w:val="5"/>
        </w:numPr>
      </w:pPr>
      <w:r>
        <w:t>Challenges in concentration, thinking, or decision-making.</w:t>
      </w:r>
    </w:p>
    <w:p w14:paraId="58EDCE15" w14:textId="0124C433" w:rsidR="004F5421" w:rsidRDefault="004F5421" w:rsidP="009A0752">
      <w:pPr>
        <w:pStyle w:val="ListParagraph"/>
        <w:numPr>
          <w:ilvl w:val="0"/>
          <w:numId w:val="5"/>
        </w:numPr>
      </w:pPr>
      <w:r>
        <w:t>Having feelings of hopelessness.</w:t>
      </w:r>
    </w:p>
    <w:p w14:paraId="7A878C86" w14:textId="765C8087" w:rsidR="004F5421" w:rsidRDefault="004F5421" w:rsidP="009A0752">
      <w:pPr>
        <w:pStyle w:val="ListParagraph"/>
        <w:numPr>
          <w:ilvl w:val="0"/>
          <w:numId w:val="5"/>
        </w:numPr>
      </w:pPr>
      <w:r>
        <w:t>Being depressed for a considerable part of the day.</w:t>
      </w:r>
    </w:p>
    <w:p w14:paraId="55BBA9CA" w14:textId="3805F083" w:rsidR="004F5421" w:rsidRDefault="004F5421" w:rsidP="009A0752">
      <w:pPr>
        <w:pStyle w:val="ListParagraph"/>
        <w:numPr>
          <w:ilvl w:val="0"/>
          <w:numId w:val="5"/>
        </w:numPr>
      </w:pPr>
      <w:r>
        <w:t>Much less interest in activities or fun for the majority of the day.</w:t>
      </w:r>
    </w:p>
    <w:p w14:paraId="68144EAE" w14:textId="41F6AED7" w:rsidR="004F5421" w:rsidRPr="0069787E" w:rsidRDefault="004F5421" w:rsidP="009A0752">
      <w:pPr>
        <w:contextualSpacing/>
        <w:rPr>
          <w:b/>
          <w:bCs/>
        </w:rPr>
      </w:pPr>
      <w:r w:rsidRPr="0069787E">
        <w:rPr>
          <w:b/>
          <w:bCs/>
        </w:rPr>
        <w:t>Question Five</w:t>
      </w:r>
    </w:p>
    <w:p w14:paraId="2F9E47A5" w14:textId="41DFD872" w:rsidR="004F5421" w:rsidRDefault="004F5421" w:rsidP="009A0752">
      <w:pPr>
        <w:pStyle w:val="ListParagraph"/>
        <w:numPr>
          <w:ilvl w:val="0"/>
          <w:numId w:val="6"/>
        </w:numPr>
      </w:pPr>
      <w:r>
        <w:t>Amphetamines and Psychostimulants e.g., Vyvanse and Adderall</w:t>
      </w:r>
    </w:p>
    <w:p w14:paraId="437F532C" w14:textId="2C332909" w:rsidR="004F5421" w:rsidRDefault="004F5421" w:rsidP="009A0752">
      <w:pPr>
        <w:pStyle w:val="ListParagraph"/>
        <w:numPr>
          <w:ilvl w:val="0"/>
          <w:numId w:val="6"/>
        </w:numPr>
      </w:pPr>
      <w:r>
        <w:t>Dopamine agonists, for example, Selegiline, Bromocriptine, and Amantadine.</w:t>
      </w:r>
    </w:p>
    <w:p w14:paraId="3E77E001" w14:textId="4CEA9A40" w:rsidR="00EF18B1" w:rsidRDefault="004F5421" w:rsidP="009A0752">
      <w:pPr>
        <w:pStyle w:val="ListParagraph"/>
        <w:numPr>
          <w:ilvl w:val="0"/>
          <w:numId w:val="6"/>
        </w:numPr>
      </w:pPr>
      <w:r>
        <w:t>Selective Serotonin Reuptake Inhibitors. These comprise antidepressants like Lexapro (escitalopram), Citalopram, and Prozac</w:t>
      </w:r>
      <w:r w:rsidR="009A0752">
        <w:t xml:space="preserve"> (</w:t>
      </w:r>
      <w:r w:rsidR="009A0752" w:rsidRPr="009A0752">
        <w:t>Tsai</w:t>
      </w:r>
      <w:r w:rsidR="009A0752">
        <w:t>, 2017)</w:t>
      </w:r>
      <w:r>
        <w:t>.</w:t>
      </w:r>
    </w:p>
    <w:p w14:paraId="5F2C5992" w14:textId="77777777" w:rsidR="00EF18B1" w:rsidRDefault="00EF18B1">
      <w:pPr>
        <w:spacing w:after="160" w:line="259" w:lineRule="auto"/>
      </w:pPr>
      <w:r>
        <w:br w:type="page"/>
      </w:r>
    </w:p>
    <w:p w14:paraId="17032E14" w14:textId="77777777" w:rsidR="00EF18B1" w:rsidRPr="007468CF" w:rsidRDefault="00EF18B1" w:rsidP="00EF18B1">
      <w:pPr>
        <w:jc w:val="center"/>
        <w:rPr>
          <w:b/>
          <w:bCs/>
        </w:rPr>
      </w:pPr>
      <w:r w:rsidRPr="007468CF">
        <w:rPr>
          <w:b/>
          <w:bCs/>
        </w:rPr>
        <w:lastRenderedPageBreak/>
        <w:t>References</w:t>
      </w:r>
    </w:p>
    <w:p w14:paraId="700B6CEF" w14:textId="77777777" w:rsidR="00EF18B1" w:rsidRDefault="00EF18B1" w:rsidP="00EF18B1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bookmarkStart w:id="0" w:name="_Hlk116999856"/>
      <w:r w:rsidRPr="007468CF">
        <w:rPr>
          <w:rFonts w:cs="Times New Roman"/>
          <w:color w:val="222222"/>
          <w:szCs w:val="24"/>
          <w:shd w:val="clear" w:color="auto" w:fill="FFFFFF"/>
        </w:rPr>
        <w:t>Aboujaoude, E., &amp; Salame, W. O. (2016</w:t>
      </w:r>
      <w:bookmarkEnd w:id="0"/>
      <w:r w:rsidRPr="007468CF">
        <w:rPr>
          <w:rFonts w:cs="Times New Roman"/>
          <w:color w:val="222222"/>
          <w:szCs w:val="24"/>
          <w:shd w:val="clear" w:color="auto" w:fill="FFFFFF"/>
        </w:rPr>
        <w:t>). Naltrexone: a pan-addiction treatment?. </w:t>
      </w:r>
      <w:r w:rsidRPr="007468CF">
        <w:rPr>
          <w:rFonts w:cs="Times New Roman"/>
          <w:i/>
          <w:iCs/>
          <w:color w:val="222222"/>
          <w:szCs w:val="24"/>
          <w:shd w:val="clear" w:color="auto" w:fill="FFFFFF"/>
        </w:rPr>
        <w:t>CNS drugs</w:t>
      </w:r>
      <w:r w:rsidRPr="007468CF">
        <w:rPr>
          <w:rFonts w:cs="Times New Roman"/>
          <w:color w:val="222222"/>
          <w:szCs w:val="24"/>
          <w:shd w:val="clear" w:color="auto" w:fill="FFFFFF"/>
        </w:rPr>
        <w:t>, </w:t>
      </w:r>
      <w:r w:rsidRPr="007468CF">
        <w:rPr>
          <w:rFonts w:cs="Times New Roman"/>
          <w:i/>
          <w:iCs/>
          <w:color w:val="222222"/>
          <w:szCs w:val="24"/>
          <w:shd w:val="clear" w:color="auto" w:fill="FFFFFF"/>
        </w:rPr>
        <w:t>30</w:t>
      </w:r>
      <w:r w:rsidRPr="007468CF">
        <w:rPr>
          <w:rFonts w:cs="Times New Roman"/>
          <w:color w:val="222222"/>
          <w:szCs w:val="24"/>
          <w:shd w:val="clear" w:color="auto" w:fill="FFFFFF"/>
        </w:rPr>
        <w:t xml:space="preserve">(8), 719-733. </w:t>
      </w:r>
      <w:hyperlink r:id="rId7" w:history="1">
        <w:r w:rsidRPr="009E1ED0">
          <w:rPr>
            <w:rStyle w:val="Hyperlink"/>
            <w:rFonts w:cs="Times New Roman"/>
            <w:szCs w:val="24"/>
            <w:shd w:val="clear" w:color="auto" w:fill="FFFFFF"/>
          </w:rPr>
          <w:t>https://doi.org/10.1007/s40263-016-0373-0</w:t>
        </w:r>
      </w:hyperlink>
    </w:p>
    <w:p w14:paraId="015F0B75" w14:textId="77777777" w:rsidR="00EF18B1" w:rsidRPr="007468CF" w:rsidRDefault="00EF18B1" w:rsidP="00EF18B1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bookmarkStart w:id="1" w:name="_Hlk116999770"/>
      <w:r w:rsidRPr="007468CF">
        <w:rPr>
          <w:rFonts w:cs="Times New Roman"/>
          <w:color w:val="222222"/>
          <w:szCs w:val="24"/>
          <w:shd w:val="clear" w:color="auto" w:fill="FFFFFF"/>
        </w:rPr>
        <w:t>Stokes, M., &amp; Abdijadid, S. (2017</w:t>
      </w:r>
      <w:bookmarkEnd w:id="1"/>
      <w:r w:rsidRPr="007468CF">
        <w:rPr>
          <w:rFonts w:cs="Times New Roman"/>
          <w:color w:val="222222"/>
          <w:szCs w:val="24"/>
          <w:shd w:val="clear" w:color="auto" w:fill="FFFFFF"/>
        </w:rPr>
        <w:t>). Disulfiram.</w:t>
      </w:r>
    </w:p>
    <w:p w14:paraId="36473A15" w14:textId="77777777" w:rsidR="00EF18B1" w:rsidRDefault="00EF18B1" w:rsidP="00EF18B1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Tsai, S. (2017, March 1). </w:t>
      </w:r>
      <w:r>
        <w:rPr>
          <w:i/>
          <w:iCs/>
        </w:rPr>
        <w:t>Medicines That Can Cause Insomnia</w:t>
      </w:r>
      <w:r>
        <w:t xml:space="preserve">. nationaljewish.org. </w:t>
      </w:r>
      <w:hyperlink r:id="rId8" w:history="1">
        <w:r w:rsidRPr="009E1ED0">
          <w:rPr>
            <w:rStyle w:val="Hyperlink"/>
          </w:rPr>
          <w:t>https://www.nationaljewish.org/conditions/insomnia/causes/medicines-that-can-cause-insomnia</w:t>
        </w:r>
      </w:hyperlink>
    </w:p>
    <w:p w14:paraId="658C0268" w14:textId="77777777" w:rsidR="00EF18B1" w:rsidRDefault="00EF18B1" w:rsidP="00EF18B1">
      <w:pPr>
        <w:pStyle w:val="NormalWeb"/>
        <w:spacing w:before="0" w:beforeAutospacing="0" w:after="0" w:afterAutospacing="0" w:line="480" w:lineRule="auto"/>
        <w:ind w:left="720" w:hanging="720"/>
      </w:pPr>
    </w:p>
    <w:p w14:paraId="47453FB9" w14:textId="77777777" w:rsidR="00EF18B1" w:rsidRDefault="00EF18B1" w:rsidP="00EF18B1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</w:p>
    <w:p w14:paraId="56A9D8AF" w14:textId="77777777" w:rsidR="004F5421" w:rsidRDefault="004F5421" w:rsidP="00EF18B1"/>
    <w:sectPr w:rsidR="004F54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94F1" w14:textId="77777777" w:rsidR="00A41902" w:rsidRDefault="00A41902" w:rsidP="009A0752">
      <w:pPr>
        <w:spacing w:after="0" w:line="240" w:lineRule="auto"/>
      </w:pPr>
      <w:r>
        <w:separator/>
      </w:r>
    </w:p>
  </w:endnote>
  <w:endnote w:type="continuationSeparator" w:id="0">
    <w:p w14:paraId="50E3BE09" w14:textId="77777777" w:rsidR="00A41902" w:rsidRDefault="00A41902" w:rsidP="009A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33C7" w14:textId="77777777" w:rsidR="00A41902" w:rsidRDefault="00A41902" w:rsidP="009A0752">
      <w:pPr>
        <w:spacing w:after="0" w:line="240" w:lineRule="auto"/>
      </w:pPr>
      <w:r>
        <w:separator/>
      </w:r>
    </w:p>
  </w:footnote>
  <w:footnote w:type="continuationSeparator" w:id="0">
    <w:p w14:paraId="13032978" w14:textId="77777777" w:rsidR="00A41902" w:rsidRDefault="00A41902" w:rsidP="009A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441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3DAEF1" w14:textId="5A6B6CB1" w:rsidR="009A0752" w:rsidRDefault="009A07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2099F" w14:textId="77777777" w:rsidR="009A0752" w:rsidRDefault="009A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02DE"/>
    <w:multiLevelType w:val="hybridMultilevel"/>
    <w:tmpl w:val="8CA2C6DE"/>
    <w:lvl w:ilvl="0" w:tplc="0190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0DF1"/>
    <w:multiLevelType w:val="hybridMultilevel"/>
    <w:tmpl w:val="DFF682D6"/>
    <w:lvl w:ilvl="0" w:tplc="CD7EF4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213E0"/>
    <w:multiLevelType w:val="hybridMultilevel"/>
    <w:tmpl w:val="7004BAB0"/>
    <w:lvl w:ilvl="0" w:tplc="9146BB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5C0F"/>
    <w:multiLevelType w:val="multilevel"/>
    <w:tmpl w:val="FF5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E3A6B"/>
    <w:multiLevelType w:val="hybridMultilevel"/>
    <w:tmpl w:val="A17EDEB0"/>
    <w:lvl w:ilvl="0" w:tplc="6EA669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015F8"/>
    <w:multiLevelType w:val="hybridMultilevel"/>
    <w:tmpl w:val="A2B0D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939436">
    <w:abstractNumId w:val="3"/>
  </w:num>
  <w:num w:numId="2" w16cid:durableId="983465279">
    <w:abstractNumId w:val="4"/>
  </w:num>
  <w:num w:numId="3" w16cid:durableId="736823159">
    <w:abstractNumId w:val="0"/>
  </w:num>
  <w:num w:numId="4" w16cid:durableId="1110465781">
    <w:abstractNumId w:val="1"/>
  </w:num>
  <w:num w:numId="5" w16cid:durableId="1741825715">
    <w:abstractNumId w:val="2"/>
  </w:num>
  <w:num w:numId="6" w16cid:durableId="1019352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tTQ2NjU3MTW0MLdU0lEKTi0uzszPAykwrAUAcC+HzywAAAA="/>
  </w:docVars>
  <w:rsids>
    <w:rsidRoot w:val="00216F4A"/>
    <w:rsid w:val="00016488"/>
    <w:rsid w:val="00122341"/>
    <w:rsid w:val="00216F4A"/>
    <w:rsid w:val="002B2E98"/>
    <w:rsid w:val="00352FE6"/>
    <w:rsid w:val="004F5421"/>
    <w:rsid w:val="00564CE7"/>
    <w:rsid w:val="0069787E"/>
    <w:rsid w:val="00743B67"/>
    <w:rsid w:val="008D7ABB"/>
    <w:rsid w:val="009A0752"/>
    <w:rsid w:val="00A41902"/>
    <w:rsid w:val="00E2591A"/>
    <w:rsid w:val="00E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AF2A"/>
  <w15:chartTrackingRefBased/>
  <w15:docId w15:val="{910B95D5-C31A-40F4-9009-52F9C89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BB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5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F18B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jewish.org/conditions/insomnia/causes/medicines-that-can-cause-insom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40263-016-0373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O</dc:creator>
  <cp:keywords/>
  <dc:description/>
  <cp:lastModifiedBy>Tonnie O</cp:lastModifiedBy>
  <cp:revision>11</cp:revision>
  <dcterms:created xsi:type="dcterms:W3CDTF">2022-10-18T09:35:00Z</dcterms:created>
  <dcterms:modified xsi:type="dcterms:W3CDTF">2022-10-18T13:05:00Z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e2690e75-a768-42cd-9326-9a7efdcfcfeb</vt:lpwstr>
  </property>
</Properties>
</file>