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Style w:val="Strong"/>
          <w:rFonts w:ascii="Arial" w:hAnsi="Arial" w:cs="Arial"/>
          <w:color w:val="333333"/>
          <w:sz w:val="20"/>
          <w:szCs w:val="20"/>
        </w:rPr>
        <w:t>M6 Discussion – Initial Post – Case 2</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The prevalence of obesity in children has increased in the last decades, with over 100 million children under the age of five years being overweight worldwide (</w:t>
      </w:r>
      <w:proofErr w:type="spellStart"/>
      <w:r>
        <w:rPr>
          <w:rFonts w:ascii="Arial" w:hAnsi="Arial" w:cs="Arial"/>
          <w:color w:val="333333"/>
          <w:sz w:val="20"/>
          <w:szCs w:val="20"/>
        </w:rPr>
        <w:t>Aggarwal</w:t>
      </w:r>
      <w:proofErr w:type="spellEnd"/>
      <w:r>
        <w:rPr>
          <w:rFonts w:ascii="Arial" w:hAnsi="Arial" w:cs="Arial"/>
          <w:color w:val="333333"/>
          <w:sz w:val="20"/>
          <w:szCs w:val="20"/>
        </w:rPr>
        <w:t xml:space="preserve"> &amp; Jain, 2018). Obesity in children can be linked to individual behaviors, such as unhealthy dietary habits, lack of physical activity, and increased television viewing time (</w:t>
      </w:r>
      <w:proofErr w:type="spellStart"/>
      <w:r>
        <w:rPr>
          <w:rFonts w:ascii="Arial" w:hAnsi="Arial" w:cs="Arial"/>
          <w:color w:val="333333"/>
          <w:sz w:val="20"/>
          <w:szCs w:val="20"/>
        </w:rPr>
        <w:t>Aggarwal</w:t>
      </w:r>
      <w:proofErr w:type="spellEnd"/>
      <w:r>
        <w:rPr>
          <w:rFonts w:ascii="Arial" w:hAnsi="Arial" w:cs="Arial"/>
          <w:color w:val="333333"/>
          <w:sz w:val="20"/>
          <w:szCs w:val="20"/>
        </w:rPr>
        <w:t xml:space="preserve"> &amp; Jain, 2018). In addition, obesity in children can also be related to micro-environmental influences, such as family habits and a lack of healthy lunch options in schools (</w:t>
      </w:r>
      <w:proofErr w:type="spellStart"/>
      <w:r>
        <w:rPr>
          <w:rFonts w:ascii="Arial" w:hAnsi="Arial" w:cs="Arial"/>
          <w:color w:val="333333"/>
          <w:sz w:val="20"/>
          <w:szCs w:val="20"/>
        </w:rPr>
        <w:t>Aggarwal</w:t>
      </w:r>
      <w:proofErr w:type="spellEnd"/>
      <w:r>
        <w:rPr>
          <w:rFonts w:ascii="Arial" w:hAnsi="Arial" w:cs="Arial"/>
          <w:color w:val="333333"/>
          <w:sz w:val="20"/>
          <w:szCs w:val="20"/>
        </w:rPr>
        <w:t xml:space="preserve"> &amp; Jain, 2018). The effect of obesity in childhood can implicate continuing obesity after adulthood, increased risk for diseases, such as type 2 diabetes, cardiovascular disease, chronic kidney disease, and cancer, and increased mortality and premature death. For this reason, the prevention of childhood obesity is an international public health priority, given the significant impact of obesity on acute and chronic diseases, general health, development, and well</w:t>
      </w:r>
      <w:r>
        <w:rPr>
          <w:rFonts w:ascii="Cambria Math" w:hAnsi="Cambria Math" w:cs="Cambria Math"/>
          <w:color w:val="333333"/>
          <w:sz w:val="20"/>
          <w:szCs w:val="20"/>
        </w:rPr>
        <w:t>‐</w:t>
      </w:r>
      <w:r>
        <w:rPr>
          <w:rFonts w:ascii="Arial" w:hAnsi="Arial" w:cs="Arial"/>
          <w:color w:val="333333"/>
          <w:sz w:val="20"/>
          <w:szCs w:val="20"/>
        </w:rPr>
        <w:t>being. We will discuss some educational interventions for a nurse practitioner (NP) to give to school-age patients in the following lines.</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First, the NP should focus on prevention interventions instead of treating obesity in childhood, including a multidisciplinary approach. The professional should provide diet information (avoiding eating calorie-dense food, increasing consumption of fruit and vegetables), physical activity (encourage to exercise at least twenty minutes of vigorous activity at least five days a week), and psychological health (healthy coping mechanisms when stressed and setting goals) (Lee &amp; Yoon, 2018). Another advocacy that an NP should do is being involved in developing policies to prevent obesity.</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Second, an NP should help school-age patients manage obesity, which could be a difficult treatment considering children and adolescents' relative intellectual and psychological immaturity. In addition, children are more susceptible to environmental factors, such as portion size or advertising. For these reasons, approaches to childhood obesity may require intensive and long-term treatment (Lee &amp; Yoon, 2018).</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Style w:val="Strong"/>
          <w:rFonts w:ascii="Arial" w:hAnsi="Arial" w:cs="Arial"/>
          <w:color w:val="333333"/>
          <w:sz w:val="20"/>
          <w:szCs w:val="20"/>
        </w:rPr>
        <w:t>Discuss appropriate interventions for adolescents suspected of having an eating disorder. Describe how they would initiate conversations with adolescents about this issue</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According to the Diagnostic and Statistical Manual of Mental Disorders 5th Edition (DSM-5), eating disorders are defined as a group of illnesses marked by severe disturbances in eating behaviors (Limbers et al., 2018). Some examples of eating disorders are anorexia nervosa, bulimia nervosa, and binge eating disorder, and the main character is the use of inappropriate weight control techniques (Limbers et al., 2018). It is important to establish a trustful relationship when talking to adolescent patients, so they can feel safe talking about eating disorders. When family therapy is contraindicated, cognitive behavior therapy (CBT) is recommended. The CBT is a new option for treatment, designed to treat the eating disorder as part of the patient and encourages the teenager to take control. Patients are encouraged to participate in the process of change activities and to consider the treatment a priority (Grave et al., 2019).</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Style w:val="Strong"/>
          <w:rFonts w:ascii="Arial" w:hAnsi="Arial" w:cs="Arial"/>
          <w:color w:val="333333"/>
          <w:sz w:val="20"/>
          <w:szCs w:val="20"/>
        </w:rPr>
        <w:t>Describe the physical changes of adolescents that include natural processes of biology and genetics</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lastRenderedPageBreak/>
        <w:t xml:space="preserve">Adolescence is characterized by biological growth and hormone changes, with the development spans from 10-24 years old and is complete once there is an </w:t>
      </w:r>
      <w:proofErr w:type="spellStart"/>
      <w:r>
        <w:rPr>
          <w:rFonts w:ascii="Arial" w:hAnsi="Arial" w:cs="Arial"/>
          <w:color w:val="333333"/>
          <w:sz w:val="20"/>
          <w:szCs w:val="20"/>
        </w:rPr>
        <w:t>epiphyseal</w:t>
      </w:r>
      <w:proofErr w:type="spellEnd"/>
      <w:r>
        <w:rPr>
          <w:rFonts w:ascii="Arial" w:hAnsi="Arial" w:cs="Arial"/>
          <w:color w:val="333333"/>
          <w:sz w:val="20"/>
          <w:szCs w:val="20"/>
        </w:rPr>
        <w:t xml:space="preserve"> fusion of long bones (Best &amp; Ban, 2021). During puberty, there is an increase in the </w:t>
      </w:r>
      <w:proofErr w:type="spellStart"/>
      <w:r>
        <w:rPr>
          <w:rFonts w:ascii="Arial" w:hAnsi="Arial" w:cs="Arial"/>
          <w:color w:val="333333"/>
          <w:sz w:val="20"/>
          <w:szCs w:val="20"/>
        </w:rPr>
        <w:t>gonadotrophin</w:t>
      </w:r>
      <w:proofErr w:type="spellEnd"/>
      <w:r>
        <w:rPr>
          <w:rFonts w:ascii="Arial" w:hAnsi="Arial" w:cs="Arial"/>
          <w:color w:val="333333"/>
          <w:sz w:val="20"/>
          <w:szCs w:val="20"/>
        </w:rPr>
        <w:t xml:space="preserve"> hormone (</w:t>
      </w:r>
      <w:proofErr w:type="spellStart"/>
      <w:r>
        <w:rPr>
          <w:rFonts w:ascii="Arial" w:hAnsi="Arial" w:cs="Arial"/>
          <w:color w:val="333333"/>
          <w:sz w:val="20"/>
          <w:szCs w:val="20"/>
        </w:rPr>
        <w:t>GnRH</w:t>
      </w:r>
      <w:proofErr w:type="spellEnd"/>
      <w:r>
        <w:rPr>
          <w:rFonts w:ascii="Arial" w:hAnsi="Arial" w:cs="Arial"/>
          <w:color w:val="333333"/>
          <w:sz w:val="20"/>
          <w:szCs w:val="20"/>
        </w:rPr>
        <w:t>) release, which controls the mechanism of regulating sexual maturation and fertility. In addition, this stage is characterized by physical changes, such as females starting their menstrual cycle and breast development, descent, and enlargement of testes in males (Best &amp; Ban, 2021). Another consideration is the neurological development during puberty. It is known that during adolescence, the pre-frontal cortex of the brain is remodeled, part of the brain responsible for decision-making, young person's ability to plan and consider the consequences of their actions, and controlling impulses (Best &amp; Ban, 2021).</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Style w:val="Strong"/>
          <w:rFonts w:ascii="Arial" w:hAnsi="Arial" w:cs="Arial"/>
          <w:color w:val="333333"/>
          <w:sz w:val="20"/>
          <w:szCs w:val="20"/>
        </w:rPr>
        <w:t>Discuss the prevalence of violence among adolescents. Identify ways that health care practitioners can help prevent and educate adolescents about these issues</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Violence among teenagers is a problem, especially in low-income and middle-income countries (Han et al., 2019). Studies show that one in four US high school students are involved in a severe violent altercation each year, 1 in 6 reports carrying a weapon at least once per month, and approximately 150 000 adolescents aged 12 to 17 years receive medical treatment annually as a result of nonfatal injuries caused by interpersonal violence (Salas-Wright et al., 2017). Around 2016 the CDC’s Division of Violence Prevention funded five Youth Violence Prevention Centers, community-level violence prevention programs that generate research ideas, stimulate novel partnerships, identify research gaps, and build the evidence base of effective prevention strategies that reduce inequities and make communities safer for all (</w:t>
      </w:r>
      <w:proofErr w:type="spellStart"/>
      <w:r>
        <w:rPr>
          <w:rFonts w:ascii="Arial" w:hAnsi="Arial" w:cs="Arial"/>
          <w:color w:val="333333"/>
          <w:sz w:val="20"/>
          <w:szCs w:val="20"/>
        </w:rPr>
        <w:t>D’Inverno</w:t>
      </w:r>
      <w:proofErr w:type="spellEnd"/>
      <w:r>
        <w:rPr>
          <w:rFonts w:ascii="Arial" w:hAnsi="Arial" w:cs="Arial"/>
          <w:color w:val="333333"/>
          <w:sz w:val="20"/>
          <w:szCs w:val="20"/>
        </w:rPr>
        <w:t xml:space="preserve"> &amp; </w:t>
      </w:r>
      <w:proofErr w:type="spellStart"/>
      <w:r>
        <w:rPr>
          <w:rFonts w:ascii="Arial" w:hAnsi="Arial" w:cs="Arial"/>
          <w:color w:val="333333"/>
          <w:sz w:val="20"/>
          <w:szCs w:val="20"/>
        </w:rPr>
        <w:t>Bartholow</w:t>
      </w:r>
      <w:proofErr w:type="spellEnd"/>
      <w:r>
        <w:rPr>
          <w:rFonts w:ascii="Arial" w:hAnsi="Arial" w:cs="Arial"/>
          <w:color w:val="333333"/>
          <w:sz w:val="20"/>
          <w:szCs w:val="20"/>
        </w:rPr>
        <w:t>, 2021).</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Style w:val="Strong"/>
          <w:rFonts w:ascii="Arial" w:hAnsi="Arial" w:cs="Arial"/>
          <w:color w:val="333333"/>
          <w:sz w:val="20"/>
          <w:szCs w:val="20"/>
        </w:rPr>
        <w:t>References</w:t>
      </w:r>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spellStart"/>
      <w:proofErr w:type="gramStart"/>
      <w:r>
        <w:rPr>
          <w:rFonts w:ascii="Arial" w:hAnsi="Arial" w:cs="Arial"/>
          <w:color w:val="333333"/>
          <w:sz w:val="20"/>
          <w:szCs w:val="20"/>
        </w:rPr>
        <w:t>Aggarwal</w:t>
      </w:r>
      <w:proofErr w:type="spellEnd"/>
      <w:r>
        <w:rPr>
          <w:rFonts w:ascii="Arial" w:hAnsi="Arial" w:cs="Arial"/>
          <w:color w:val="333333"/>
          <w:sz w:val="20"/>
          <w:szCs w:val="20"/>
        </w:rPr>
        <w:t>, B., &amp; Jain, V. (2018).</w:t>
      </w:r>
      <w:proofErr w:type="gramEnd"/>
      <w:r>
        <w:rPr>
          <w:rFonts w:ascii="Arial" w:hAnsi="Arial" w:cs="Arial"/>
          <w:color w:val="333333"/>
          <w:sz w:val="20"/>
          <w:szCs w:val="20"/>
        </w:rPr>
        <w:t xml:space="preserve"> Obesity in children: Definition, etiology, and approach. </w:t>
      </w:r>
      <w:r>
        <w:rPr>
          <w:rStyle w:val="Emphasis"/>
          <w:rFonts w:ascii="Arial" w:hAnsi="Arial" w:cs="Arial"/>
          <w:color w:val="333333"/>
          <w:sz w:val="20"/>
          <w:szCs w:val="20"/>
        </w:rPr>
        <w:t xml:space="preserve">Indian J </w:t>
      </w:r>
      <w:proofErr w:type="spellStart"/>
      <w:r>
        <w:rPr>
          <w:rStyle w:val="Emphasis"/>
          <w:rFonts w:ascii="Arial" w:hAnsi="Arial" w:cs="Arial"/>
          <w:color w:val="333333"/>
          <w:sz w:val="20"/>
          <w:szCs w:val="20"/>
        </w:rPr>
        <w:t>Pediatr</w:t>
      </w:r>
      <w:proofErr w:type="spellEnd"/>
      <w:r>
        <w:rPr>
          <w:rStyle w:val="Emphasis"/>
          <w:rFonts w:ascii="Arial" w:hAnsi="Arial" w:cs="Arial"/>
          <w:color w:val="333333"/>
          <w:sz w:val="20"/>
          <w:szCs w:val="20"/>
        </w:rPr>
        <w:t>, 85</w:t>
      </w:r>
      <w:r>
        <w:rPr>
          <w:rFonts w:ascii="Arial" w:hAnsi="Arial" w:cs="Arial"/>
          <w:color w:val="333333"/>
          <w:sz w:val="20"/>
          <w:szCs w:val="20"/>
        </w:rPr>
        <w:t>,</w:t>
      </w:r>
      <w:r>
        <w:rPr>
          <w:rStyle w:val="Strong"/>
          <w:rFonts w:ascii="Arial" w:hAnsi="Arial" w:cs="Arial"/>
          <w:color w:val="333333"/>
          <w:sz w:val="20"/>
          <w:szCs w:val="20"/>
        </w:rPr>
        <w:t> </w:t>
      </w:r>
      <w:r>
        <w:rPr>
          <w:rFonts w:ascii="Arial" w:hAnsi="Arial" w:cs="Arial"/>
          <w:color w:val="333333"/>
          <w:sz w:val="20"/>
          <w:szCs w:val="20"/>
        </w:rPr>
        <w:t>463–471. </w:t>
      </w:r>
      <w:hyperlink r:id="rId4" w:tgtFrame="_blank" w:history="1">
        <w:r>
          <w:rPr>
            <w:rStyle w:val="Hyperlink"/>
            <w:rFonts w:ascii="Arial" w:hAnsi="Arial" w:cs="Arial"/>
            <w:color w:val="337AB7"/>
            <w:sz w:val="20"/>
            <w:szCs w:val="20"/>
            <w:u w:val="none"/>
          </w:rPr>
          <w:t>https://doi.org/10.1007/s12098-017-2531-x</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Best, O., &amp; Ban, S. (2021). Adolescence: Physical changes and neurological development. </w:t>
      </w:r>
      <w:proofErr w:type="gramStart"/>
      <w:r>
        <w:rPr>
          <w:rStyle w:val="Emphasis"/>
          <w:rFonts w:ascii="Arial" w:hAnsi="Arial" w:cs="Arial"/>
          <w:color w:val="333333"/>
          <w:sz w:val="20"/>
          <w:szCs w:val="20"/>
        </w:rPr>
        <w:t>British Journal of Nursing, 30</w:t>
      </w:r>
      <w:r>
        <w:rPr>
          <w:rFonts w:ascii="Arial" w:hAnsi="Arial" w:cs="Arial"/>
          <w:color w:val="333333"/>
          <w:sz w:val="20"/>
          <w:szCs w:val="20"/>
        </w:rPr>
        <w:t>(5).</w:t>
      </w:r>
      <w:proofErr w:type="gramEnd"/>
      <w:r>
        <w:rPr>
          <w:rFonts w:ascii="Arial" w:hAnsi="Arial" w:cs="Arial"/>
          <w:color w:val="333333"/>
          <w:sz w:val="20"/>
          <w:szCs w:val="20"/>
        </w:rPr>
        <w:t> </w:t>
      </w:r>
      <w:hyperlink r:id="rId5" w:tgtFrame="_blank" w:history="1">
        <w:r>
          <w:rPr>
            <w:rStyle w:val="Hyperlink"/>
            <w:rFonts w:ascii="Arial" w:hAnsi="Arial" w:cs="Arial"/>
            <w:color w:val="337AB7"/>
            <w:sz w:val="20"/>
            <w:szCs w:val="20"/>
            <w:u w:val="none"/>
          </w:rPr>
          <w:t>https://doi.org/10.12968/bjon.2021.30.5.272</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spellStart"/>
      <w:proofErr w:type="gramStart"/>
      <w:r>
        <w:rPr>
          <w:rFonts w:ascii="Arial" w:hAnsi="Arial" w:cs="Arial"/>
          <w:color w:val="333333"/>
          <w:sz w:val="20"/>
          <w:szCs w:val="20"/>
        </w:rPr>
        <w:t>D’Inverno</w:t>
      </w:r>
      <w:proofErr w:type="spellEnd"/>
      <w:r>
        <w:rPr>
          <w:rFonts w:ascii="Arial" w:hAnsi="Arial" w:cs="Arial"/>
          <w:color w:val="333333"/>
          <w:sz w:val="20"/>
          <w:szCs w:val="20"/>
        </w:rPr>
        <w:t xml:space="preserve">, A. S., &amp; </w:t>
      </w:r>
      <w:proofErr w:type="spellStart"/>
      <w:r>
        <w:rPr>
          <w:rFonts w:ascii="Arial" w:hAnsi="Arial" w:cs="Arial"/>
          <w:color w:val="333333"/>
          <w:sz w:val="20"/>
          <w:szCs w:val="20"/>
        </w:rPr>
        <w:t>Bartholow</w:t>
      </w:r>
      <w:proofErr w:type="spellEnd"/>
      <w:r>
        <w:rPr>
          <w:rFonts w:ascii="Arial" w:hAnsi="Arial" w:cs="Arial"/>
          <w:color w:val="333333"/>
          <w:sz w:val="20"/>
          <w:szCs w:val="20"/>
        </w:rPr>
        <w:t>, B. N. (2021).</w:t>
      </w:r>
      <w:proofErr w:type="gramEnd"/>
      <w:r>
        <w:rPr>
          <w:rFonts w:ascii="Arial" w:hAnsi="Arial" w:cs="Arial"/>
          <w:color w:val="333333"/>
          <w:sz w:val="20"/>
          <w:szCs w:val="20"/>
        </w:rPr>
        <w:t xml:space="preserve"> Engaging communities in youth violence prevention: Introduction and contents. </w:t>
      </w:r>
      <w:proofErr w:type="gramStart"/>
      <w:r>
        <w:rPr>
          <w:rStyle w:val="Emphasis"/>
          <w:rFonts w:ascii="Arial" w:hAnsi="Arial" w:cs="Arial"/>
          <w:color w:val="333333"/>
          <w:sz w:val="20"/>
          <w:szCs w:val="20"/>
        </w:rPr>
        <w:t>American Journal of Public Health, 111</w:t>
      </w:r>
      <w:r>
        <w:rPr>
          <w:rFonts w:ascii="Arial" w:hAnsi="Arial" w:cs="Arial"/>
          <w:color w:val="333333"/>
          <w:sz w:val="20"/>
          <w:szCs w:val="20"/>
        </w:rPr>
        <w:t>(S1), S10–S16.</w:t>
      </w:r>
      <w:proofErr w:type="gramEnd"/>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gramStart"/>
      <w:r>
        <w:rPr>
          <w:rFonts w:ascii="Arial" w:hAnsi="Arial" w:cs="Arial"/>
          <w:color w:val="333333"/>
          <w:sz w:val="20"/>
          <w:szCs w:val="20"/>
        </w:rPr>
        <w:t xml:space="preserve">Grave, R. D., </w:t>
      </w:r>
      <w:proofErr w:type="spellStart"/>
      <w:r>
        <w:rPr>
          <w:rFonts w:ascii="Arial" w:hAnsi="Arial" w:cs="Arial"/>
          <w:color w:val="333333"/>
          <w:sz w:val="20"/>
          <w:szCs w:val="20"/>
        </w:rPr>
        <w:t>Eckhardt</w:t>
      </w:r>
      <w:proofErr w:type="spellEnd"/>
      <w:r>
        <w:rPr>
          <w:rFonts w:ascii="Arial" w:hAnsi="Arial" w:cs="Arial"/>
          <w:color w:val="333333"/>
          <w:sz w:val="20"/>
          <w:szCs w:val="20"/>
        </w:rPr>
        <w:t xml:space="preserve">, S., </w:t>
      </w:r>
      <w:proofErr w:type="spellStart"/>
      <w:r>
        <w:rPr>
          <w:rFonts w:ascii="Arial" w:hAnsi="Arial" w:cs="Arial"/>
          <w:color w:val="333333"/>
          <w:sz w:val="20"/>
          <w:szCs w:val="20"/>
        </w:rPr>
        <w:t>Calugi</w:t>
      </w:r>
      <w:proofErr w:type="spellEnd"/>
      <w:r>
        <w:rPr>
          <w:rFonts w:ascii="Arial" w:hAnsi="Arial" w:cs="Arial"/>
          <w:color w:val="333333"/>
          <w:sz w:val="20"/>
          <w:szCs w:val="20"/>
        </w:rPr>
        <w:t>, S., &amp; Le Grange, D. (2019).</w:t>
      </w:r>
      <w:proofErr w:type="gramEnd"/>
      <w:r>
        <w:rPr>
          <w:rFonts w:ascii="Arial" w:hAnsi="Arial" w:cs="Arial"/>
          <w:color w:val="333333"/>
          <w:sz w:val="20"/>
          <w:szCs w:val="20"/>
        </w:rPr>
        <w:t xml:space="preserve"> </w:t>
      </w:r>
      <w:proofErr w:type="gramStart"/>
      <w:r>
        <w:rPr>
          <w:rFonts w:ascii="Arial" w:hAnsi="Arial" w:cs="Arial"/>
          <w:color w:val="333333"/>
          <w:sz w:val="20"/>
          <w:szCs w:val="20"/>
        </w:rPr>
        <w:t>A conceptual comparison of family-based treatment and enhanced cognitive behavior therapy in the treatment of adolescents with eating disorders.</w:t>
      </w:r>
      <w:proofErr w:type="gramEnd"/>
      <w:r>
        <w:rPr>
          <w:rFonts w:ascii="Arial" w:hAnsi="Arial" w:cs="Arial"/>
          <w:color w:val="333333"/>
          <w:sz w:val="20"/>
          <w:szCs w:val="20"/>
        </w:rPr>
        <w:t> </w:t>
      </w:r>
      <w:r>
        <w:rPr>
          <w:rStyle w:val="Emphasis"/>
          <w:rFonts w:ascii="Arial" w:hAnsi="Arial" w:cs="Arial"/>
          <w:color w:val="333333"/>
          <w:sz w:val="20"/>
          <w:szCs w:val="20"/>
        </w:rPr>
        <w:t xml:space="preserve">J Eat </w:t>
      </w:r>
      <w:proofErr w:type="spellStart"/>
      <w:r>
        <w:rPr>
          <w:rStyle w:val="Emphasis"/>
          <w:rFonts w:ascii="Arial" w:hAnsi="Arial" w:cs="Arial"/>
          <w:color w:val="333333"/>
          <w:sz w:val="20"/>
          <w:szCs w:val="20"/>
        </w:rPr>
        <w:t>Disord</w:t>
      </w:r>
      <w:proofErr w:type="spellEnd"/>
      <w:r>
        <w:rPr>
          <w:rStyle w:val="Emphasis"/>
          <w:rFonts w:ascii="Arial" w:hAnsi="Arial" w:cs="Arial"/>
          <w:color w:val="333333"/>
          <w:sz w:val="20"/>
          <w:szCs w:val="20"/>
        </w:rPr>
        <w:t xml:space="preserve"> 7, </w:t>
      </w:r>
      <w:r>
        <w:rPr>
          <w:rFonts w:ascii="Arial" w:hAnsi="Arial" w:cs="Arial"/>
          <w:color w:val="333333"/>
          <w:sz w:val="20"/>
          <w:szCs w:val="20"/>
        </w:rPr>
        <w:t>42. </w:t>
      </w:r>
      <w:hyperlink r:id="rId6" w:tgtFrame="_blank" w:history="1">
        <w:r>
          <w:rPr>
            <w:rStyle w:val="Hyperlink"/>
            <w:rFonts w:ascii="Arial" w:hAnsi="Arial" w:cs="Arial"/>
            <w:color w:val="337AB7"/>
            <w:sz w:val="20"/>
            <w:szCs w:val="20"/>
            <w:u w:val="none"/>
          </w:rPr>
          <w:t>https://doi.org/10.1186/s40337-019-0275-x</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 xml:space="preserve">Han, L., You, D., </w:t>
      </w:r>
      <w:proofErr w:type="spellStart"/>
      <w:proofErr w:type="gramStart"/>
      <w:r>
        <w:rPr>
          <w:rFonts w:ascii="Arial" w:hAnsi="Arial" w:cs="Arial"/>
          <w:color w:val="333333"/>
          <w:sz w:val="20"/>
          <w:szCs w:val="20"/>
        </w:rPr>
        <w:t>Gao</w:t>
      </w:r>
      <w:proofErr w:type="spellEnd"/>
      <w:proofErr w:type="gramEnd"/>
      <w:r>
        <w:rPr>
          <w:rFonts w:ascii="Arial" w:hAnsi="Arial" w:cs="Arial"/>
          <w:color w:val="333333"/>
          <w:sz w:val="20"/>
          <w:szCs w:val="20"/>
        </w:rPr>
        <w:t xml:space="preserve">, X., </w:t>
      </w:r>
      <w:proofErr w:type="spellStart"/>
      <w:r>
        <w:rPr>
          <w:rFonts w:ascii="Arial" w:hAnsi="Arial" w:cs="Arial"/>
          <w:color w:val="333333"/>
          <w:sz w:val="20"/>
          <w:szCs w:val="20"/>
        </w:rPr>
        <w:t>Duan</w:t>
      </w:r>
      <w:proofErr w:type="spellEnd"/>
      <w:r>
        <w:rPr>
          <w:rFonts w:ascii="Arial" w:hAnsi="Arial" w:cs="Arial"/>
          <w:color w:val="333333"/>
          <w:sz w:val="20"/>
          <w:szCs w:val="20"/>
        </w:rPr>
        <w:t xml:space="preserve">, S., </w:t>
      </w:r>
      <w:proofErr w:type="spellStart"/>
      <w:r>
        <w:rPr>
          <w:rFonts w:ascii="Arial" w:hAnsi="Arial" w:cs="Arial"/>
          <w:color w:val="333333"/>
          <w:sz w:val="20"/>
          <w:szCs w:val="20"/>
        </w:rPr>
        <w:t>Hu</w:t>
      </w:r>
      <w:proofErr w:type="spellEnd"/>
      <w:r>
        <w:rPr>
          <w:rFonts w:ascii="Arial" w:hAnsi="Arial" w:cs="Arial"/>
          <w:color w:val="333333"/>
          <w:sz w:val="20"/>
          <w:szCs w:val="20"/>
        </w:rPr>
        <w:t xml:space="preserve">, G., Wang, H., Liu, S., &amp; </w:t>
      </w:r>
      <w:proofErr w:type="spellStart"/>
      <w:r>
        <w:rPr>
          <w:rFonts w:ascii="Arial" w:hAnsi="Arial" w:cs="Arial"/>
          <w:color w:val="333333"/>
          <w:sz w:val="20"/>
          <w:szCs w:val="20"/>
        </w:rPr>
        <w:t>Zeng</w:t>
      </w:r>
      <w:proofErr w:type="spellEnd"/>
      <w:r>
        <w:rPr>
          <w:rFonts w:ascii="Arial" w:hAnsi="Arial" w:cs="Arial"/>
          <w:color w:val="333333"/>
          <w:sz w:val="20"/>
          <w:szCs w:val="20"/>
        </w:rPr>
        <w:t>, F. (2019). Unintentional injuries and violence among adolescents aged 12–15 years in 68 low-income and middle-income countries: A secondary analysis of data from the Global School-Based Student Health Survey. </w:t>
      </w:r>
      <w:r>
        <w:rPr>
          <w:rStyle w:val="Emphasis"/>
          <w:rFonts w:ascii="Arial" w:hAnsi="Arial" w:cs="Arial"/>
          <w:color w:val="333333"/>
          <w:sz w:val="20"/>
          <w:szCs w:val="20"/>
        </w:rPr>
        <w:t>The Lancet Child &amp; Adolescent Health, 3</w:t>
      </w:r>
      <w:r>
        <w:rPr>
          <w:rFonts w:ascii="Arial" w:hAnsi="Arial" w:cs="Arial"/>
          <w:color w:val="333333"/>
          <w:sz w:val="20"/>
          <w:szCs w:val="20"/>
        </w:rPr>
        <w:t>(9), 616-626. </w:t>
      </w:r>
      <w:hyperlink r:id="rId7" w:tgtFrame="_blank" w:history="1">
        <w:r>
          <w:rPr>
            <w:rStyle w:val="Hyperlink"/>
            <w:rFonts w:ascii="Arial" w:hAnsi="Arial" w:cs="Arial"/>
            <w:color w:val="337AB7"/>
            <w:sz w:val="20"/>
            <w:szCs w:val="20"/>
            <w:u w:val="none"/>
          </w:rPr>
          <w:t>https://doi.org/10.1016/S2352-4642(19)30195-6</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gramStart"/>
      <w:r>
        <w:rPr>
          <w:rFonts w:ascii="Arial" w:hAnsi="Arial" w:cs="Arial"/>
          <w:color w:val="333333"/>
          <w:sz w:val="20"/>
          <w:szCs w:val="20"/>
        </w:rPr>
        <w:lastRenderedPageBreak/>
        <w:t>Lee, E. Y., &amp; Yoon, K. H. (2018).</w:t>
      </w:r>
      <w:proofErr w:type="gramEnd"/>
      <w:r>
        <w:rPr>
          <w:rFonts w:ascii="Arial" w:hAnsi="Arial" w:cs="Arial"/>
          <w:color w:val="333333"/>
          <w:sz w:val="20"/>
          <w:szCs w:val="20"/>
        </w:rPr>
        <w:t xml:space="preserve"> Epidemic obesity in children and adolescents: Risk factors and prevention. </w:t>
      </w:r>
      <w:r>
        <w:rPr>
          <w:rStyle w:val="Emphasis"/>
          <w:rFonts w:ascii="Arial" w:hAnsi="Arial" w:cs="Arial"/>
          <w:color w:val="333333"/>
          <w:sz w:val="20"/>
          <w:szCs w:val="20"/>
        </w:rPr>
        <w:t>Front Med, 12,</w:t>
      </w:r>
      <w:r>
        <w:rPr>
          <w:rStyle w:val="Strong"/>
          <w:rFonts w:ascii="Arial" w:hAnsi="Arial" w:cs="Arial"/>
          <w:color w:val="333333"/>
          <w:sz w:val="20"/>
          <w:szCs w:val="20"/>
        </w:rPr>
        <w:t> </w:t>
      </w:r>
      <w:r>
        <w:rPr>
          <w:rFonts w:ascii="Arial" w:hAnsi="Arial" w:cs="Arial"/>
          <w:color w:val="333333"/>
          <w:sz w:val="20"/>
          <w:szCs w:val="20"/>
        </w:rPr>
        <w:t>658–666. </w:t>
      </w:r>
      <w:hyperlink r:id="rId8" w:tgtFrame="_blank" w:history="1">
        <w:r>
          <w:rPr>
            <w:rStyle w:val="Hyperlink"/>
            <w:rFonts w:ascii="Arial" w:hAnsi="Arial" w:cs="Arial"/>
            <w:color w:val="337AB7"/>
            <w:sz w:val="20"/>
            <w:szCs w:val="20"/>
            <w:u w:val="none"/>
          </w:rPr>
          <w:t>https://doi.org/10.1007/s11684-018-0640-1</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gramStart"/>
      <w:r>
        <w:rPr>
          <w:rFonts w:ascii="Arial" w:hAnsi="Arial" w:cs="Arial"/>
          <w:color w:val="333333"/>
          <w:sz w:val="20"/>
          <w:szCs w:val="20"/>
        </w:rPr>
        <w:t>Limbers, C. A., Cohen, L. A., &amp; Gray, B. A. (2018).</w:t>
      </w:r>
      <w:proofErr w:type="gramEnd"/>
      <w:r>
        <w:rPr>
          <w:rFonts w:ascii="Arial" w:hAnsi="Arial" w:cs="Arial"/>
          <w:color w:val="333333"/>
          <w:sz w:val="20"/>
          <w:szCs w:val="20"/>
        </w:rPr>
        <w:t xml:space="preserve"> Eating disorders in adolescent and young adult males: Prevalence, diagnosis, and treatment strategies. </w:t>
      </w:r>
      <w:r>
        <w:rPr>
          <w:rStyle w:val="Emphasis"/>
          <w:rFonts w:ascii="Arial" w:hAnsi="Arial" w:cs="Arial"/>
          <w:color w:val="333333"/>
          <w:sz w:val="20"/>
          <w:szCs w:val="20"/>
        </w:rPr>
        <w:t>Adolescent Health, Medicine and Therapeutics</w:t>
      </w:r>
      <w:r>
        <w:rPr>
          <w:rFonts w:ascii="Arial" w:hAnsi="Arial" w:cs="Arial"/>
          <w:color w:val="333333"/>
          <w:sz w:val="20"/>
          <w:szCs w:val="20"/>
        </w:rPr>
        <w:t>, </w:t>
      </w:r>
      <w:r>
        <w:rPr>
          <w:rStyle w:val="Emphasis"/>
          <w:rFonts w:ascii="Arial" w:hAnsi="Arial" w:cs="Arial"/>
          <w:color w:val="333333"/>
          <w:sz w:val="20"/>
          <w:szCs w:val="20"/>
        </w:rPr>
        <w:t>9</w:t>
      </w:r>
      <w:r>
        <w:rPr>
          <w:rFonts w:ascii="Arial" w:hAnsi="Arial" w:cs="Arial"/>
          <w:color w:val="333333"/>
          <w:sz w:val="20"/>
          <w:szCs w:val="20"/>
        </w:rPr>
        <w:t>, 111–116. </w:t>
      </w:r>
      <w:hyperlink r:id="rId9" w:tgtFrame="_blank" w:history="1">
        <w:r>
          <w:rPr>
            <w:rStyle w:val="Hyperlink"/>
            <w:rFonts w:ascii="Arial" w:hAnsi="Arial" w:cs="Arial"/>
            <w:color w:val="337AB7"/>
            <w:sz w:val="20"/>
            <w:szCs w:val="20"/>
            <w:u w:val="none"/>
          </w:rPr>
          <w:t>https://doi.org/10.2147/AHMT.S147480</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proofErr w:type="gramStart"/>
      <w:r>
        <w:rPr>
          <w:rFonts w:ascii="Arial" w:hAnsi="Arial" w:cs="Arial"/>
          <w:color w:val="333333"/>
          <w:sz w:val="20"/>
          <w:szCs w:val="20"/>
        </w:rPr>
        <w:t xml:space="preserve">Salas-Wright, C. P., Nelson, E. J., Vaughn, M. G., </w:t>
      </w:r>
      <w:proofErr w:type="spellStart"/>
      <w:r>
        <w:rPr>
          <w:rFonts w:ascii="Arial" w:hAnsi="Arial" w:cs="Arial"/>
          <w:color w:val="333333"/>
          <w:sz w:val="20"/>
          <w:szCs w:val="20"/>
        </w:rPr>
        <w:t>Reingle</w:t>
      </w:r>
      <w:proofErr w:type="spellEnd"/>
      <w:r>
        <w:rPr>
          <w:rFonts w:ascii="Arial" w:hAnsi="Arial" w:cs="Arial"/>
          <w:color w:val="333333"/>
          <w:sz w:val="20"/>
          <w:szCs w:val="20"/>
        </w:rPr>
        <w:t xml:space="preserve"> Gonzalez, J. M., &amp; </w:t>
      </w:r>
      <w:proofErr w:type="spellStart"/>
      <w:r>
        <w:rPr>
          <w:rFonts w:ascii="Arial" w:hAnsi="Arial" w:cs="Arial"/>
          <w:color w:val="333333"/>
          <w:sz w:val="20"/>
          <w:szCs w:val="20"/>
        </w:rPr>
        <w:t>Córdova</w:t>
      </w:r>
      <w:proofErr w:type="spellEnd"/>
      <w:r>
        <w:rPr>
          <w:rFonts w:ascii="Arial" w:hAnsi="Arial" w:cs="Arial"/>
          <w:color w:val="333333"/>
          <w:sz w:val="20"/>
          <w:szCs w:val="20"/>
        </w:rPr>
        <w:t>, D. (2017).</w:t>
      </w:r>
      <w:proofErr w:type="gramEnd"/>
      <w:r>
        <w:rPr>
          <w:rFonts w:ascii="Arial" w:hAnsi="Arial" w:cs="Arial"/>
          <w:color w:val="333333"/>
          <w:sz w:val="20"/>
          <w:szCs w:val="20"/>
        </w:rPr>
        <w:t xml:space="preserve"> </w:t>
      </w:r>
      <w:proofErr w:type="gramStart"/>
      <w:r>
        <w:rPr>
          <w:rFonts w:ascii="Arial" w:hAnsi="Arial" w:cs="Arial"/>
          <w:color w:val="333333"/>
          <w:sz w:val="20"/>
          <w:szCs w:val="20"/>
        </w:rPr>
        <w:t>Trends in fighting and violence among adolescents in the United States, 2002-2014.</w:t>
      </w:r>
      <w:proofErr w:type="gramEnd"/>
      <w:r>
        <w:rPr>
          <w:rFonts w:ascii="Arial" w:hAnsi="Arial" w:cs="Arial"/>
          <w:color w:val="333333"/>
          <w:sz w:val="20"/>
          <w:szCs w:val="20"/>
        </w:rPr>
        <w:t> </w:t>
      </w:r>
      <w:r>
        <w:rPr>
          <w:rStyle w:val="Emphasis"/>
          <w:rFonts w:ascii="Arial" w:hAnsi="Arial" w:cs="Arial"/>
          <w:color w:val="333333"/>
          <w:sz w:val="20"/>
          <w:szCs w:val="20"/>
        </w:rPr>
        <w:t>American Journal of Public Health, 107</w:t>
      </w:r>
      <w:r>
        <w:rPr>
          <w:rFonts w:ascii="Arial" w:hAnsi="Arial" w:cs="Arial"/>
          <w:color w:val="333333"/>
          <w:sz w:val="20"/>
          <w:szCs w:val="20"/>
        </w:rPr>
        <w:t>(6), 977–982. </w:t>
      </w:r>
      <w:hyperlink r:id="rId10" w:tgtFrame="_blank" w:history="1">
        <w:r>
          <w:rPr>
            <w:rStyle w:val="Hyperlink"/>
            <w:rFonts w:ascii="Arial" w:hAnsi="Arial" w:cs="Arial"/>
            <w:color w:val="337AB7"/>
            <w:sz w:val="20"/>
            <w:szCs w:val="20"/>
            <w:u w:val="none"/>
          </w:rPr>
          <w:t>https://doi.org/10.2105/AJPH.2017.303743</w:t>
        </w:r>
        <w:r>
          <w:rPr>
            <w:rStyle w:val="screenreader-only"/>
            <w:rFonts w:ascii="Arial" w:hAnsi="Arial" w:cs="Arial"/>
            <w:color w:val="337AB7"/>
            <w:sz w:val="20"/>
            <w:szCs w:val="20"/>
          </w:rPr>
          <w:t> (Links to an external site.)</w:t>
        </w:r>
      </w:hyperlink>
    </w:p>
    <w:p w:rsidR="00602B75" w:rsidRDefault="00602B75" w:rsidP="00602B75">
      <w:pPr>
        <w:pStyle w:val="NormalWeb"/>
        <w:shd w:val="clear" w:color="auto" w:fill="FFFFFF"/>
        <w:spacing w:before="0" w:beforeAutospacing="0" w:after="141" w:afterAutospacing="0" w:line="325" w:lineRule="atLeast"/>
        <w:rPr>
          <w:rFonts w:ascii="Arial" w:hAnsi="Arial" w:cs="Arial"/>
          <w:color w:val="333333"/>
          <w:sz w:val="20"/>
          <w:szCs w:val="20"/>
        </w:rPr>
      </w:pPr>
      <w:r>
        <w:rPr>
          <w:rFonts w:ascii="Arial" w:hAnsi="Arial" w:cs="Arial"/>
          <w:color w:val="333333"/>
          <w:sz w:val="20"/>
          <w:szCs w:val="20"/>
        </w:rPr>
        <w:t>Edited by </w:t>
      </w:r>
      <w:hyperlink r:id="rId11" w:history="1">
        <w:r>
          <w:rPr>
            <w:rStyle w:val="Hyperlink"/>
            <w:rFonts w:ascii="Arial" w:hAnsi="Arial" w:cs="Arial"/>
            <w:color w:val="337AB7"/>
            <w:sz w:val="20"/>
            <w:szCs w:val="20"/>
            <w:u w:val="none"/>
          </w:rPr>
          <w:t>Fonseca, Larissa </w:t>
        </w:r>
      </w:hyperlink>
      <w:r>
        <w:rPr>
          <w:rFonts w:ascii="Arial" w:hAnsi="Arial" w:cs="Arial"/>
          <w:color w:val="333333"/>
          <w:sz w:val="20"/>
          <w:szCs w:val="20"/>
        </w:rPr>
        <w:t>on Apr 17 at 9:57am</w:t>
      </w:r>
    </w:p>
    <w:p w:rsidR="00385340" w:rsidRDefault="00385340"/>
    <w:sectPr w:rsidR="00385340" w:rsidSect="003853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602B75"/>
    <w:rsid w:val="00385340"/>
    <w:rsid w:val="00602B75"/>
    <w:rsid w:val="00C21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B7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02B75"/>
    <w:rPr>
      <w:b/>
      <w:bCs/>
    </w:rPr>
  </w:style>
  <w:style w:type="character" w:styleId="Emphasis">
    <w:name w:val="Emphasis"/>
    <w:basedOn w:val="DefaultParagraphFont"/>
    <w:uiPriority w:val="20"/>
    <w:qFormat/>
    <w:rsid w:val="00602B75"/>
    <w:rPr>
      <w:i/>
      <w:iCs/>
    </w:rPr>
  </w:style>
  <w:style w:type="character" w:styleId="Hyperlink">
    <w:name w:val="Hyperlink"/>
    <w:basedOn w:val="DefaultParagraphFont"/>
    <w:uiPriority w:val="99"/>
    <w:semiHidden/>
    <w:unhideWhenUsed/>
    <w:rsid w:val="00602B75"/>
    <w:rPr>
      <w:color w:val="0000FF"/>
      <w:u w:val="single"/>
    </w:rPr>
  </w:style>
  <w:style w:type="character" w:customStyle="1" w:styleId="screenreader-only">
    <w:name w:val="screenreader-only"/>
    <w:basedOn w:val="DefaultParagraphFont"/>
    <w:rsid w:val="00602B75"/>
  </w:style>
</w:styles>
</file>

<file path=word/webSettings.xml><?xml version="1.0" encoding="utf-8"?>
<w:webSettings xmlns:r="http://schemas.openxmlformats.org/officeDocument/2006/relationships" xmlns:w="http://schemas.openxmlformats.org/wordprocessingml/2006/main">
  <w:divs>
    <w:div w:id="9266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84-018-064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S2352-4642(19)3019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40337-019-0275-x" TargetMode="External"/><Relationship Id="rId11" Type="http://schemas.openxmlformats.org/officeDocument/2006/relationships/hyperlink" Target="https://stu.instructure.com/courses/27780/users/19939" TargetMode="External"/><Relationship Id="rId5" Type="http://schemas.openxmlformats.org/officeDocument/2006/relationships/hyperlink" Target="https://doi.org/10.12968/bjon.2021.30.5.272" TargetMode="External"/><Relationship Id="rId10" Type="http://schemas.openxmlformats.org/officeDocument/2006/relationships/hyperlink" Target="https://doi.org/10.2105/AJPH.2017.303743" TargetMode="External"/><Relationship Id="rId4" Type="http://schemas.openxmlformats.org/officeDocument/2006/relationships/hyperlink" Target="https://doi.org/10.1007/s12098-017-2531-x" TargetMode="External"/><Relationship Id="rId9" Type="http://schemas.openxmlformats.org/officeDocument/2006/relationships/hyperlink" Target="https://doi.org/10.2147/AHMT.S147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2022-04-21T02:43:00Z</dcterms:created>
  <dcterms:modified xsi:type="dcterms:W3CDTF">2022-04-21T02:43:00Z</dcterms:modified>
</cp:coreProperties>
</file>