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6A92" w14:textId="516CF4A6" w:rsidR="00C42466" w:rsidRPr="00A9429F" w:rsidRDefault="00C42466" w:rsidP="00C42466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A9429F">
        <w:rPr>
          <w:rFonts w:ascii="Garamond" w:hAnsi="Garamond"/>
          <w:b/>
          <w:bCs/>
          <w:sz w:val="28"/>
          <w:szCs w:val="28"/>
        </w:rPr>
        <w:t>Lesson 15 Overview &amp; Commentary</w:t>
      </w:r>
    </w:p>
    <w:p w14:paraId="39A1815C" w14:textId="14BCD231" w:rsidR="00266ACD" w:rsidRPr="00A9429F" w:rsidRDefault="00E0576B" w:rsidP="00C42466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FINAL EXAM </w:t>
      </w:r>
      <w:r w:rsidR="00C42466" w:rsidRPr="00A9429F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br/>
      </w:r>
      <w:r w:rsidR="00C42466" w:rsidRPr="00A9429F">
        <w:rPr>
          <w:rFonts w:ascii="Garamond" w:hAnsi="Garamond"/>
          <w:b/>
          <w:bCs/>
          <w:sz w:val="28"/>
          <w:szCs w:val="28"/>
        </w:rPr>
        <w:t>Case Study Analysis: Building the AI Bank of the Future</w:t>
      </w:r>
    </w:p>
    <w:p w14:paraId="02F730C3" w14:textId="60165A24" w:rsidR="00C42466" w:rsidRPr="00C42466" w:rsidRDefault="00C42466" w:rsidP="00C42466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193AE7D" w14:textId="77777777" w:rsidR="00904CE2" w:rsidRDefault="00C42466" w:rsidP="00C42466">
      <w:pPr>
        <w:shd w:val="clear" w:color="auto" w:fill="FFFFFF"/>
        <w:spacing w:before="195" w:after="150" w:line="240" w:lineRule="auto"/>
        <w:rPr>
          <w:rFonts w:ascii="Garamond" w:eastAsia="Times New Roman" w:hAnsi="Garamond" w:cs="Arial"/>
          <w:color w:val="222B33"/>
          <w:sz w:val="24"/>
          <w:szCs w:val="24"/>
        </w:rPr>
      </w:pPr>
      <w:r w:rsidRPr="00C42466">
        <w:rPr>
          <w:rFonts w:ascii="Garamond" w:eastAsia="Times New Roman" w:hAnsi="Garamond" w:cs="Arial"/>
          <w:color w:val="222B33"/>
          <w:sz w:val="24"/>
          <w:szCs w:val="24"/>
        </w:rPr>
        <w:t xml:space="preserve">In this lesson, you have an opportunity to employ systems thinking and apply what you have learned from this course. </w:t>
      </w:r>
      <w:r w:rsidR="00FA4F54">
        <w:rPr>
          <w:rFonts w:ascii="Garamond" w:eastAsia="Times New Roman" w:hAnsi="Garamond" w:cs="Arial"/>
          <w:color w:val="222B33"/>
          <w:sz w:val="24"/>
          <w:szCs w:val="24"/>
        </w:rPr>
        <w:br/>
      </w:r>
      <w:r w:rsidRPr="00C42466">
        <w:rPr>
          <w:rFonts w:ascii="Garamond" w:eastAsia="Times New Roman" w:hAnsi="Garamond" w:cs="Arial"/>
          <w:color w:val="222B33"/>
          <w:sz w:val="24"/>
          <w:szCs w:val="24"/>
        </w:rPr>
        <w:t xml:space="preserve">Specifically, we will be taking a deep dive and engaging in deep thinking regarding a case study in the banking industry titled Building the AI Bank of the Future. </w:t>
      </w:r>
    </w:p>
    <w:p w14:paraId="41DE96BF" w14:textId="558D877D" w:rsidR="00C42466" w:rsidRPr="00FA4F54" w:rsidRDefault="00C42466" w:rsidP="00C42466">
      <w:pPr>
        <w:shd w:val="clear" w:color="auto" w:fill="FFFFFF"/>
        <w:spacing w:before="195" w:after="150" w:line="240" w:lineRule="auto"/>
        <w:rPr>
          <w:rFonts w:ascii="Garamond" w:eastAsia="Times New Roman" w:hAnsi="Garamond" w:cs="Arial"/>
          <w:b/>
          <w:bCs/>
          <w:color w:val="222B33"/>
          <w:sz w:val="24"/>
          <w:szCs w:val="24"/>
          <w:u w:val="single"/>
        </w:rPr>
      </w:pPr>
      <w:r w:rsidRPr="00FA4F54">
        <w:rPr>
          <w:rFonts w:ascii="Garamond" w:eastAsia="Times New Roman" w:hAnsi="Garamond" w:cs="Arial"/>
          <w:b/>
          <w:bCs/>
          <w:color w:val="222B33"/>
          <w:sz w:val="24"/>
          <w:szCs w:val="24"/>
          <w:u w:val="single"/>
        </w:rPr>
        <w:t>McKinsey &amp; Company Global Banking Practice is the source of the case study.</w:t>
      </w:r>
    </w:p>
    <w:p w14:paraId="1947AA9B" w14:textId="77777777" w:rsidR="00C42466" w:rsidRPr="00C42466" w:rsidRDefault="00C42466" w:rsidP="00C42466">
      <w:pPr>
        <w:shd w:val="clear" w:color="auto" w:fill="FFFFFF"/>
        <w:spacing w:before="120" w:after="120" w:line="312" w:lineRule="atLeast"/>
        <w:outlineLvl w:val="3"/>
        <w:rPr>
          <w:rFonts w:ascii="Garamond" w:eastAsia="Times New Roman" w:hAnsi="Garamond" w:cs="Arial"/>
          <w:b/>
          <w:bCs/>
          <w:color w:val="00366C"/>
          <w:sz w:val="28"/>
          <w:szCs w:val="28"/>
        </w:rPr>
      </w:pPr>
      <w:r w:rsidRPr="00C42466">
        <w:rPr>
          <w:rFonts w:ascii="Garamond" w:eastAsia="Times New Roman" w:hAnsi="Garamond" w:cs="Arial"/>
          <w:b/>
          <w:bCs/>
          <w:color w:val="00366C"/>
          <w:sz w:val="28"/>
          <w:szCs w:val="28"/>
        </w:rPr>
        <w:t>Objectives</w:t>
      </w:r>
    </w:p>
    <w:p w14:paraId="6D68B33B" w14:textId="77777777" w:rsidR="00C42466" w:rsidRPr="00C42466" w:rsidRDefault="00C42466" w:rsidP="00C42466">
      <w:pPr>
        <w:shd w:val="clear" w:color="auto" w:fill="FFFFFF"/>
        <w:spacing w:before="195" w:after="150" w:line="240" w:lineRule="auto"/>
        <w:rPr>
          <w:rFonts w:ascii="Garamond" w:eastAsia="Times New Roman" w:hAnsi="Garamond" w:cs="Arial"/>
          <w:color w:val="222B33"/>
          <w:sz w:val="24"/>
          <w:szCs w:val="24"/>
        </w:rPr>
      </w:pPr>
      <w:r w:rsidRPr="00C42466">
        <w:rPr>
          <w:rFonts w:ascii="Garamond" w:eastAsia="Times New Roman" w:hAnsi="Garamond" w:cs="Arial"/>
          <w:color w:val="222B33"/>
          <w:sz w:val="24"/>
          <w:szCs w:val="24"/>
        </w:rPr>
        <w:t>After successfully completing this lesson, you should be able to do the following things:</w:t>
      </w:r>
    </w:p>
    <w:p w14:paraId="64B0BDBE" w14:textId="77777777" w:rsidR="00C42466" w:rsidRPr="00C42466" w:rsidRDefault="00C42466" w:rsidP="00C42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222B33"/>
          <w:sz w:val="24"/>
          <w:szCs w:val="24"/>
        </w:rPr>
      </w:pPr>
      <w:r w:rsidRPr="00C42466">
        <w:rPr>
          <w:rFonts w:ascii="Garamond" w:eastAsia="Times New Roman" w:hAnsi="Garamond" w:cs="Arial"/>
          <w:color w:val="222B33"/>
          <w:sz w:val="24"/>
          <w:szCs w:val="24"/>
        </w:rPr>
        <w:t>Apply what you have learned from this course.</w:t>
      </w:r>
    </w:p>
    <w:p w14:paraId="6B6BFDA9" w14:textId="77777777" w:rsidR="00C42466" w:rsidRPr="00C42466" w:rsidRDefault="00C42466" w:rsidP="00C42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222B33"/>
          <w:sz w:val="24"/>
          <w:szCs w:val="24"/>
        </w:rPr>
      </w:pPr>
      <w:r w:rsidRPr="00C42466">
        <w:rPr>
          <w:rFonts w:ascii="Garamond" w:eastAsia="Times New Roman" w:hAnsi="Garamond" w:cs="Arial"/>
          <w:color w:val="222B33"/>
          <w:sz w:val="24"/>
          <w:szCs w:val="24"/>
        </w:rPr>
        <w:t>Identify concrete and actionable steps you are committed to undertaking to build on the foundation you have acquired from this course.</w:t>
      </w:r>
    </w:p>
    <w:p w14:paraId="780C63EB" w14:textId="4E7F8A01" w:rsidR="00C42466" w:rsidRPr="00C42466" w:rsidRDefault="00C42466" w:rsidP="00C42466">
      <w:pPr>
        <w:shd w:val="clear" w:color="auto" w:fill="FFFFFF"/>
        <w:spacing w:before="120" w:after="120" w:line="312" w:lineRule="atLeast"/>
        <w:outlineLvl w:val="3"/>
        <w:rPr>
          <w:rFonts w:ascii="Garamond" w:eastAsia="Times New Roman" w:hAnsi="Garamond" w:cs="Arial"/>
          <w:b/>
          <w:bCs/>
          <w:color w:val="00366C"/>
          <w:sz w:val="28"/>
          <w:szCs w:val="28"/>
        </w:rPr>
      </w:pPr>
      <w:r w:rsidRPr="00C42466">
        <w:rPr>
          <w:rFonts w:ascii="Garamond" w:eastAsia="Times New Roman" w:hAnsi="Garamond" w:cs="Arial"/>
          <w:b/>
          <w:bCs/>
          <w:color w:val="00366C"/>
          <w:sz w:val="28"/>
          <w:szCs w:val="28"/>
        </w:rPr>
        <w:t>Reading and Activities</w:t>
      </w:r>
    </w:p>
    <w:p w14:paraId="4BFD596B" w14:textId="77777777" w:rsidR="00C42466" w:rsidRPr="00C42466" w:rsidRDefault="00C42466" w:rsidP="00C42466">
      <w:pPr>
        <w:spacing w:after="150" w:line="240" w:lineRule="auto"/>
        <w:rPr>
          <w:rFonts w:ascii="Garamond" w:eastAsia="Times New Roman" w:hAnsi="Garamond" w:cs="Arial"/>
          <w:color w:val="222B33"/>
          <w:sz w:val="24"/>
          <w:szCs w:val="24"/>
        </w:rPr>
      </w:pPr>
      <w:r w:rsidRPr="00C42466">
        <w:rPr>
          <w:rFonts w:ascii="Garamond" w:eastAsia="Times New Roman" w:hAnsi="Garamond" w:cs="Arial"/>
          <w:color w:val="222B33"/>
          <w:sz w:val="24"/>
          <w:szCs w:val="24"/>
        </w:rPr>
        <w:t>Other Readings:</w:t>
      </w:r>
    </w:p>
    <w:p w14:paraId="515C3E01" w14:textId="71D18F30" w:rsidR="00C42466" w:rsidRPr="00E0576B" w:rsidRDefault="00E0576B" w:rsidP="009760C6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Garamond" w:eastAsia="Times New Roman" w:hAnsi="Garamond" w:cs="Arial"/>
          <w:color w:val="222B33"/>
          <w:sz w:val="24"/>
          <w:szCs w:val="24"/>
        </w:rPr>
      </w:pPr>
      <w:hyperlink r:id="rId5" w:tgtFrame="_blank" w:history="1">
        <w:r w:rsidR="00C42466" w:rsidRPr="00E0576B">
          <w:rPr>
            <w:rFonts w:ascii="Garamond" w:eastAsia="Times New Roman" w:hAnsi="Garamond" w:cs="Arial"/>
            <w:color w:val="0078BD"/>
            <w:sz w:val="24"/>
            <w:szCs w:val="24"/>
            <w:u w:val="single"/>
          </w:rPr>
          <w:t>Building the AI bank of the future</w:t>
        </w:r>
      </w:hyperlink>
      <w:r>
        <w:rPr>
          <w:rFonts w:ascii="Garamond" w:eastAsia="Times New Roman" w:hAnsi="Garamond" w:cs="Arial"/>
          <w:color w:val="0078BD"/>
          <w:sz w:val="24"/>
          <w:szCs w:val="24"/>
          <w:u w:val="single"/>
        </w:rPr>
        <w:t xml:space="preserve"> - </w:t>
      </w:r>
      <w:hyperlink r:id="rId6" w:history="1">
        <w:r w:rsidRPr="00E0576B">
          <w:rPr>
            <w:rStyle w:val="Hyperlink"/>
            <w:rFonts w:ascii="Garamond" w:eastAsia="Times New Roman" w:hAnsi="Garamond" w:cs="Arial"/>
            <w:sz w:val="24"/>
            <w:szCs w:val="24"/>
          </w:rPr>
          <w:t>https://www.mckinsey.com/industries/financial-services/our-insights/building-the-ai-bank-of-the-future</w:t>
        </w:r>
      </w:hyperlink>
    </w:p>
    <w:p w14:paraId="2F45D3EB" w14:textId="77777777" w:rsidR="00C42466" w:rsidRPr="00C42466" w:rsidRDefault="00C42466" w:rsidP="00C42466">
      <w:pPr>
        <w:spacing w:before="100" w:beforeAutospacing="1" w:after="100" w:afterAutospacing="1" w:line="240" w:lineRule="auto"/>
        <w:ind w:left="720"/>
        <w:rPr>
          <w:rFonts w:ascii="Garamond" w:eastAsia="Times New Roman" w:hAnsi="Garamond" w:cs="Arial"/>
          <w:color w:val="222B33"/>
          <w:sz w:val="24"/>
          <w:szCs w:val="24"/>
        </w:rPr>
      </w:pPr>
    </w:p>
    <w:p w14:paraId="63289740" w14:textId="77777777" w:rsidR="00C42466" w:rsidRPr="00C42466" w:rsidRDefault="00C42466" w:rsidP="00C42466">
      <w:pPr>
        <w:shd w:val="clear" w:color="auto" w:fill="FFFFFF"/>
        <w:spacing w:before="120" w:after="120" w:line="312" w:lineRule="atLeast"/>
        <w:outlineLvl w:val="3"/>
        <w:rPr>
          <w:rFonts w:ascii="Garamond" w:eastAsia="Times New Roman" w:hAnsi="Garamond" w:cs="Arial"/>
          <w:color w:val="00366C"/>
          <w:sz w:val="24"/>
          <w:szCs w:val="24"/>
        </w:rPr>
      </w:pPr>
    </w:p>
    <w:p w14:paraId="548D04D9" w14:textId="77777777" w:rsidR="00C42466" w:rsidRPr="00C42466" w:rsidRDefault="00C42466" w:rsidP="00C42466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sectPr w:rsidR="00C42466" w:rsidRPr="00C42466" w:rsidSect="00C42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418E"/>
    <w:multiLevelType w:val="multilevel"/>
    <w:tmpl w:val="60F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24ED6"/>
    <w:multiLevelType w:val="multilevel"/>
    <w:tmpl w:val="794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310FA"/>
    <w:multiLevelType w:val="multilevel"/>
    <w:tmpl w:val="FA3A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478119">
    <w:abstractNumId w:val="1"/>
  </w:num>
  <w:num w:numId="2" w16cid:durableId="57677424">
    <w:abstractNumId w:val="2"/>
  </w:num>
  <w:num w:numId="3" w16cid:durableId="110889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5A"/>
    <w:rsid w:val="00266ACD"/>
    <w:rsid w:val="00904CE2"/>
    <w:rsid w:val="00A9429F"/>
    <w:rsid w:val="00AD76F9"/>
    <w:rsid w:val="00C42466"/>
    <w:rsid w:val="00E0576B"/>
    <w:rsid w:val="00EC215A"/>
    <w:rsid w:val="00F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6581"/>
  <w15:chartTrackingRefBased/>
  <w15:docId w15:val="{EAAE1713-3882-4BB9-9218-2FCB68A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42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424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24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ckinsey.com/industries/financial-services/our-insights/building-the-ai-bank-of-the-future" TargetMode="External"/><Relationship Id="rId5" Type="http://schemas.openxmlformats.org/officeDocument/2006/relationships/hyperlink" Target="https://www.mckinsey.com/industries/financial-services/our-insights/building-the-ai-bank-of-the-fu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Mehra, Rohit</dc:creator>
  <cp:keywords/>
  <dc:description/>
  <cp:lastModifiedBy>Mehra, Rohit</cp:lastModifiedBy>
  <cp:revision>7</cp:revision>
  <dcterms:created xsi:type="dcterms:W3CDTF">2022-04-01T19:46:00Z</dcterms:created>
  <dcterms:modified xsi:type="dcterms:W3CDTF">2022-04-19T19:02:00Z</dcterms:modified>
</cp:coreProperties>
</file>