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39" w:rsidRDefault="00675039" w:rsidP="00675039">
      <w:pPr>
        <w:pStyle w:val="NormalWeb"/>
        <w:shd w:val="clear" w:color="auto" w:fill="FFFFFF"/>
        <w:spacing w:before="0" w:beforeAutospacing="0" w:after="0" w:afterAutospacing="0"/>
        <w:rPr>
          <w:rFonts w:ascii="Open Sans" w:hAnsi="Open Sans" w:cs="Open Sans"/>
          <w:color w:val="000000"/>
        </w:rPr>
      </w:pPr>
      <w:r>
        <w:rPr>
          <w:rStyle w:val="Strong"/>
          <w:rFonts w:ascii="Arial" w:hAnsi="Arial" w:cs="Arial"/>
          <w:color w:val="000000"/>
          <w:sz w:val="27"/>
          <w:szCs w:val="27"/>
          <w:bdr w:val="none" w:sz="0" w:space="0" w:color="auto" w:frame="1"/>
        </w:rPr>
        <w:t>Engaging the Process of Planning</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Each week, you will be asked to respond to the prompt or prompts in the discussion forum. If there are two questions to the week's discussion, you are to respond to both questions in your initial post. Your initial post should be a minimum of 300 words in length, and is due on Sunday. By Tuesday, you should respond to two additional posts from your peers. If you have not done so lately, please review the </w:t>
      </w:r>
      <w:hyperlink r:id="rId4" w:tgtFrame="_blank" w:tooltip="This link takes you to the Rules of Discussion" w:history="1">
        <w:r>
          <w:rPr>
            <w:rStyle w:val="Hyperlink"/>
            <w:rFonts w:ascii="inherit" w:hAnsi="inherit" w:cs="Arial"/>
            <w:color w:val="1874A4"/>
            <w:bdr w:val="none" w:sz="0" w:space="0" w:color="auto" w:frame="1"/>
          </w:rPr>
          <w:t>Rules of Discussion</w:t>
        </w:r>
      </w:hyperlink>
      <w:r>
        <w:rPr>
          <w:rFonts w:ascii="Arial" w:hAnsi="Arial" w:cs="Arial"/>
          <w:color w:val="000000"/>
          <w:sz w:val="27"/>
          <w:szCs w:val="27"/>
          <w:bdr w:val="none" w:sz="0" w:space="0" w:color="auto" w:frame="1"/>
        </w:rPr>
        <w:t>. </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For your follow up post...review the responses provided by your peers. Engage in conversation, or even civil debate, as you discuss their insights and viewpoints. You may ask questions for clarification (if you are confused by their initial post) or pose questions that advance the conversation. </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A:</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inherit" w:hAnsi="inherit" w:cs="Arial"/>
          <w:color w:val="000000"/>
          <w:bdr w:val="none" w:sz="0" w:space="0" w:color="auto" w:frame="1"/>
        </w:rPr>
        <w:t>What are the steps in engaging the process of planning? How do you ensure that you, your group, and your organization engage in the process before acting?</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B:</w:t>
      </w:r>
    </w:p>
    <w:p w:rsidR="00675039" w:rsidRDefault="00675039" w:rsidP="00675039">
      <w:pPr>
        <w:pStyle w:val="NormalWeb"/>
        <w:shd w:val="clear" w:color="auto" w:fill="FFFFFF"/>
        <w:spacing w:before="0" w:beforeAutospacing="0" w:after="0" w:afterAutospacing="0" w:line="294" w:lineRule="atLeast"/>
        <w:rPr>
          <w:rFonts w:ascii="Verdana" w:hAnsi="Verdana"/>
          <w:color w:val="000000"/>
          <w:sz w:val="21"/>
          <w:szCs w:val="21"/>
        </w:rPr>
      </w:pPr>
      <w:r>
        <w:rPr>
          <w:rFonts w:ascii="inherit" w:hAnsi="inherit" w:cs="Arial"/>
          <w:color w:val="000000"/>
          <w:bdr w:val="none" w:sz="0" w:space="0" w:color="auto" w:frame="1"/>
        </w:rPr>
        <w:t>What is an example from your life when you have witnessed a failure in planning? What were the consequences? How could playing the movie forward have helped?</w:t>
      </w:r>
    </w:p>
    <w:p w:rsidR="00946850" w:rsidRDefault="00F8207D"/>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Default="00675039"/>
    <w:p w:rsidR="00675039" w:rsidRPr="00675039" w:rsidRDefault="00675039" w:rsidP="00675039">
      <w:pPr>
        <w:spacing w:before="240" w:after="0" w:line="420" w:lineRule="atLeast"/>
        <w:outlineLvl w:val="0"/>
        <w:rPr>
          <w:rFonts w:ascii="Arial" w:eastAsia="Times New Roman" w:hAnsi="Arial" w:cs="Arial"/>
          <w:color w:val="000000"/>
          <w:kern w:val="36"/>
          <w:sz w:val="40"/>
          <w:szCs w:val="40"/>
        </w:rPr>
      </w:pPr>
      <w:r w:rsidRPr="00675039">
        <w:rPr>
          <w:rFonts w:ascii="Arial" w:eastAsia="Times New Roman" w:hAnsi="Arial" w:cs="Arial"/>
          <w:color w:val="000000"/>
          <w:kern w:val="36"/>
          <w:sz w:val="40"/>
          <w:szCs w:val="40"/>
        </w:rPr>
        <w:lastRenderedPageBreak/>
        <w:t>Planning</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 </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On August 6, 2010, HP announced that CEO Mark Hurd, widely credited with turning the troubled company around, was resigning. The reason for his resignation? According to HP’s statement, the company’s general counsel had conducted an investigation into Hurd and found that he had </w:t>
      </w:r>
      <w:r w:rsidRPr="00675039">
        <w:rPr>
          <w:rFonts w:ascii="Arial" w:eastAsia="Times New Roman" w:hAnsi="Arial" w:cs="Arial"/>
          <w:b/>
          <w:bCs/>
          <w:color w:val="000000"/>
        </w:rPr>
        <w:t>not</w:t>
      </w:r>
      <w:r w:rsidRPr="00675039">
        <w:rPr>
          <w:rFonts w:ascii="Arial" w:eastAsia="Times New Roman" w:hAnsi="Arial" w:cs="Arial"/>
          <w:color w:val="000000"/>
        </w:rPr>
        <w:t> violated the company’s sexual harassment policy. It made no sense, and investors and the media were very confused by why Hurd was leaving.</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On August 9, CNBC reported that Hurd would collect between $34 million and $40 million in severance payments.</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On September 6, Hurd joined Oracle, HP’s rival, as co-president. Investors at HP were outraged. The next day, HP sued Oracle and asked the court for an injunction to prevent Hurd from starting at his new job. Two weeks later the companies settled, and Hurd kept his new job at Oracle.</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 xml:space="preserve">Ten days after the lawsuit settled, HP named Leo </w:t>
      </w:r>
      <w:proofErr w:type="spellStart"/>
      <w:r w:rsidRPr="00675039">
        <w:rPr>
          <w:rFonts w:ascii="Arial" w:eastAsia="Times New Roman" w:hAnsi="Arial" w:cs="Arial"/>
          <w:color w:val="000000"/>
        </w:rPr>
        <w:t>Apotheker</w:t>
      </w:r>
      <w:proofErr w:type="spellEnd"/>
      <w:r w:rsidRPr="00675039">
        <w:rPr>
          <w:rFonts w:ascii="Arial" w:eastAsia="Times New Roman" w:hAnsi="Arial" w:cs="Arial"/>
          <w:color w:val="000000"/>
        </w:rPr>
        <w:t>, former CEO of German software giant SAP, as CEO of HP. He was fired just one year later, after HP stock had fallen drastically during his tenure, with a multi-million dollar severance package. Meg Whitman, HP board member and former eBay CEO, became HP’s CEO. By the time Whitman began as CEO, HP stock had lost nearly half its value between Hurd’s departure and Whitman’s arrival. </w:t>
      </w:r>
    </w:p>
    <w:p w:rsidR="00675039" w:rsidRPr="00675039" w:rsidRDefault="00675039" w:rsidP="00675039">
      <w:pPr>
        <w:spacing w:line="231" w:lineRule="atLeast"/>
        <w:rPr>
          <w:rFonts w:ascii="Arial" w:eastAsia="Times New Roman" w:hAnsi="Arial" w:cs="Arial"/>
          <w:color w:val="000000"/>
        </w:rPr>
      </w:pPr>
      <w:r w:rsidRPr="00675039">
        <w:rPr>
          <w:rFonts w:ascii="Arial" w:eastAsia="Times New Roman" w:hAnsi="Arial" w:cs="Arial"/>
          <w:color w:val="000000"/>
        </w:rPr>
        <w:t>Write a paper to argue how this case study is an example of the harm that is caused by not planning. Re-compose this case study using the three types of planning: strategic, operational and tactical.</w:t>
      </w:r>
    </w:p>
    <w:p w:rsidR="00675039" w:rsidRPr="00675039" w:rsidRDefault="00675039" w:rsidP="00675039">
      <w:pPr>
        <w:spacing w:after="120" w:line="231" w:lineRule="atLeast"/>
        <w:rPr>
          <w:rFonts w:ascii="Arial" w:eastAsia="Times New Roman" w:hAnsi="Arial" w:cs="Arial"/>
          <w:color w:val="000000"/>
        </w:rPr>
      </w:pPr>
      <w:r w:rsidRPr="00675039">
        <w:rPr>
          <w:rFonts w:ascii="Arial" w:eastAsia="Times New Roman" w:hAnsi="Arial" w:cs="Arial"/>
          <w:color w:val="000000"/>
        </w:rPr>
        <w:t>The requirements below must be met for your paper to be accepted and graded:</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Write 3 – 5 pages using Microsoft Word in APA style.</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Use font size 12 and 1” margins.</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Include cover page and reference page.</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At least 80% of your paper must be original content/writing.</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No more than 20% of your content/information may come from references.</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Use an appropriate number of references to support your position, and defend your arguments.</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Cite all reference material (data, dates, graphs, quotes, paraphrased words, values, etc.) in the paper and list on a reference page in APA style.</w:t>
      </w:r>
    </w:p>
    <w:p w:rsidR="00675039" w:rsidRPr="00675039" w:rsidRDefault="00675039" w:rsidP="00675039">
      <w:pPr>
        <w:spacing w:after="120" w:line="231" w:lineRule="atLeast"/>
        <w:rPr>
          <w:rFonts w:ascii="Arial" w:eastAsia="Times New Roman" w:hAnsi="Arial" w:cs="Arial"/>
          <w:color w:val="000000"/>
        </w:rPr>
      </w:pPr>
      <w:r w:rsidRPr="00675039">
        <w:rPr>
          <w:rFonts w:ascii="Arial" w:eastAsia="Times New Roman" w:hAnsi="Arial" w:cs="Arial"/>
          <w:color w:val="000000"/>
        </w:rPr>
        <w:t>The following are examples of primary and secondary sources that may be used:</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Primary sources such as, government websites (</w:t>
      </w:r>
      <w:hyperlink r:id="rId5" w:tooltip="This link will take you to the Bureau of Labor Statistics website." w:history="1">
        <w:r w:rsidRPr="00675039">
          <w:rPr>
            <w:rFonts w:ascii="Arial" w:eastAsia="Times New Roman" w:hAnsi="Arial" w:cs="Arial"/>
            <w:color w:val="0563C1"/>
            <w:u w:val="single"/>
          </w:rPr>
          <w:t>United States Department of Labor Bureau of Labor Statistics</w:t>
        </w:r>
      </w:hyperlink>
      <w:r w:rsidRPr="00675039">
        <w:rPr>
          <w:rFonts w:ascii="Arial" w:eastAsia="Times New Roman" w:hAnsi="Arial" w:cs="Arial"/>
          <w:color w:val="000000"/>
        </w:rPr>
        <w:t>, </w:t>
      </w:r>
      <w:hyperlink r:id="rId6" w:tooltip="This link will take you to the US Census website." w:history="1">
        <w:r w:rsidRPr="00675039">
          <w:rPr>
            <w:rFonts w:ascii="Arial" w:eastAsia="Times New Roman" w:hAnsi="Arial" w:cs="Arial"/>
            <w:color w:val="0563C1"/>
            <w:u w:val="single"/>
          </w:rPr>
          <w:t>United States Census Bureau</w:t>
        </w:r>
      </w:hyperlink>
      <w:r w:rsidRPr="00675039">
        <w:rPr>
          <w:rFonts w:ascii="Arial" w:eastAsia="Times New Roman" w:hAnsi="Arial" w:cs="Arial"/>
          <w:color w:val="000000"/>
        </w:rPr>
        <w:t>, </w:t>
      </w:r>
      <w:hyperlink r:id="rId7" w:tooltip="This link will take you to the World Bank website." w:history="1">
        <w:r w:rsidRPr="00675039">
          <w:rPr>
            <w:rFonts w:ascii="Arial" w:eastAsia="Times New Roman" w:hAnsi="Arial" w:cs="Arial"/>
            <w:color w:val="0563C1"/>
            <w:u w:val="single"/>
          </w:rPr>
          <w:t>The World Bank</w:t>
        </w:r>
      </w:hyperlink>
      <w:r w:rsidRPr="00675039">
        <w:rPr>
          <w:rFonts w:ascii="Arial" w:eastAsia="Times New Roman" w:hAnsi="Arial" w:cs="Arial"/>
          <w:color w:val="000000"/>
        </w:rPr>
        <w:t>, etc.), peer reviewed and scholarly journals in EBSCOhost (Grantham University Online Library) and </w:t>
      </w:r>
      <w:hyperlink r:id="rId8" w:tooltip="This link will take you to the Google Scholar website." w:history="1">
        <w:r w:rsidRPr="00675039">
          <w:rPr>
            <w:rFonts w:ascii="Arial" w:eastAsia="Times New Roman" w:hAnsi="Arial" w:cs="Arial"/>
            <w:color w:val="0563C1"/>
            <w:u w:val="single"/>
          </w:rPr>
          <w:t>Google Scholar</w:t>
        </w:r>
      </w:hyperlink>
      <w:r w:rsidRPr="00675039">
        <w:rPr>
          <w:rFonts w:ascii="Arial" w:eastAsia="Times New Roman" w:hAnsi="Arial" w:cs="Arial"/>
          <w:color w:val="000000"/>
        </w:rPr>
        <w:t>.</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Secondary and credible sources such as, </w:t>
      </w:r>
      <w:hyperlink r:id="rId9" w:tooltip="This link will take you to the CNN Money website." w:history="1">
        <w:r w:rsidRPr="00675039">
          <w:rPr>
            <w:rFonts w:ascii="Arial" w:eastAsia="Times New Roman" w:hAnsi="Arial" w:cs="Arial"/>
            <w:color w:val="0563C1"/>
            <w:u w:val="single"/>
          </w:rPr>
          <w:t>CNN Money</w:t>
        </w:r>
      </w:hyperlink>
      <w:r w:rsidRPr="00675039">
        <w:rPr>
          <w:rFonts w:ascii="Arial" w:eastAsia="Times New Roman" w:hAnsi="Arial" w:cs="Arial"/>
          <w:color w:val="000000"/>
        </w:rPr>
        <w:t>, </w:t>
      </w:r>
      <w:hyperlink r:id="rId10" w:tooltip="This link will take you to The Wall Street Journal's website." w:history="1">
        <w:r w:rsidRPr="00675039">
          <w:rPr>
            <w:rFonts w:ascii="Arial" w:eastAsia="Times New Roman" w:hAnsi="Arial" w:cs="Arial"/>
            <w:color w:val="0563C1"/>
            <w:u w:val="single"/>
          </w:rPr>
          <w:t>The Wall Street Journal</w:t>
        </w:r>
      </w:hyperlink>
      <w:r w:rsidRPr="00675039">
        <w:rPr>
          <w:rFonts w:ascii="Arial" w:eastAsia="Times New Roman" w:hAnsi="Arial" w:cs="Arial"/>
          <w:color w:val="000000"/>
        </w:rPr>
        <w:t>, trade journals, and publications in EBSCOhost (Grantham University Online Library).</w:t>
      </w:r>
    </w:p>
    <w:p w:rsidR="00675039" w:rsidRPr="00675039" w:rsidRDefault="00675039" w:rsidP="00675039">
      <w:pPr>
        <w:spacing w:after="120" w:line="231" w:lineRule="atLeast"/>
        <w:rPr>
          <w:rFonts w:ascii="Arial" w:eastAsia="Times New Roman" w:hAnsi="Arial" w:cs="Arial"/>
          <w:color w:val="000000"/>
        </w:rPr>
      </w:pPr>
      <w:r w:rsidRPr="00675039">
        <w:rPr>
          <w:rFonts w:ascii="Arial" w:eastAsia="Times New Roman" w:hAnsi="Arial" w:cs="Arial"/>
          <w:color w:val="000000"/>
        </w:rPr>
        <w:t>The following are examples of non-credible and opinion based sources that may not be used:</w:t>
      </w:r>
    </w:p>
    <w:p w:rsidR="00675039" w:rsidRPr="00675039" w:rsidRDefault="00675039" w:rsidP="00675039">
      <w:pPr>
        <w:spacing w:after="120" w:line="231" w:lineRule="atLeast"/>
        <w:ind w:left="720" w:hanging="360"/>
        <w:rPr>
          <w:rFonts w:ascii="Arial" w:eastAsia="Times New Roman" w:hAnsi="Arial" w:cs="Arial"/>
          <w:color w:val="000000"/>
        </w:rPr>
      </w:pPr>
      <w:r w:rsidRPr="00675039">
        <w:rPr>
          <w:rFonts w:ascii="Symbol" w:eastAsia="Times New Roman" w:hAnsi="Symbol" w:cs="Arial"/>
          <w:color w:val="000000"/>
        </w:rPr>
        <w:lastRenderedPageBreak/>
        <w:t></w:t>
      </w:r>
      <w:r w:rsidRPr="00675039">
        <w:rPr>
          <w:rFonts w:ascii="Times New Roman" w:eastAsia="Times New Roman" w:hAnsi="Times New Roman" w:cs="Times New Roman"/>
          <w:color w:val="000000"/>
          <w:sz w:val="14"/>
          <w:szCs w:val="14"/>
        </w:rPr>
        <w:t>         </w:t>
      </w:r>
      <w:r w:rsidRPr="00675039">
        <w:rPr>
          <w:rFonts w:ascii="Arial" w:eastAsia="Times New Roman" w:hAnsi="Arial" w:cs="Arial"/>
          <w:color w:val="000000"/>
        </w:rPr>
        <w:t xml:space="preserve">Non-credible and opinion based sources such as, Wikis, Yahoo Answers, </w:t>
      </w:r>
      <w:proofErr w:type="spellStart"/>
      <w:r w:rsidRPr="00675039">
        <w:rPr>
          <w:rFonts w:ascii="Arial" w:eastAsia="Times New Roman" w:hAnsi="Arial" w:cs="Arial"/>
          <w:color w:val="000000"/>
        </w:rPr>
        <w:t>eHow</w:t>
      </w:r>
      <w:proofErr w:type="spellEnd"/>
      <w:r w:rsidRPr="00675039">
        <w:rPr>
          <w:rFonts w:ascii="Arial" w:eastAsia="Times New Roman" w:hAnsi="Arial" w:cs="Arial"/>
          <w:color w:val="000000"/>
        </w:rPr>
        <w:t>, blogs, etc.</w:t>
      </w:r>
    </w:p>
    <w:p w:rsidR="00675039" w:rsidRPr="00675039" w:rsidRDefault="00762FBD" w:rsidP="00675039">
      <w:pPr>
        <w:spacing w:line="231" w:lineRule="atLeast"/>
        <w:rPr>
          <w:rFonts w:ascii="Arial" w:eastAsia="Times New Roman" w:hAnsi="Arial" w:cs="Arial"/>
          <w:color w:val="000000"/>
        </w:rPr>
      </w:pPr>
      <w:hyperlink r:id="rId11" w:tooltip="View your assignment rubric." w:history="1">
        <w:r w:rsidR="00675039" w:rsidRPr="00675039">
          <w:rPr>
            <w:rFonts w:ascii="Arial" w:eastAsia="Times New Roman" w:hAnsi="Arial" w:cs="Arial"/>
            <w:color w:val="0563C1"/>
            <w:u w:val="single"/>
          </w:rPr>
          <w:t>View your assignment rubric</w:t>
        </w:r>
      </w:hyperlink>
      <w:r w:rsidR="00675039" w:rsidRPr="00675039">
        <w:rPr>
          <w:rFonts w:ascii="Arial" w:eastAsia="Times New Roman" w:hAnsi="Arial" w:cs="Arial"/>
          <w:color w:val="000000"/>
        </w:rPr>
        <w:t>.</w:t>
      </w:r>
    </w:p>
    <w:p w:rsidR="00675039" w:rsidRDefault="00675039"/>
    <w:sectPr w:rsidR="00675039" w:rsidSect="00762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039"/>
    <w:rsid w:val="00086E8F"/>
    <w:rsid w:val="00675039"/>
    <w:rsid w:val="00762FBD"/>
    <w:rsid w:val="00E2583E"/>
    <w:rsid w:val="00F82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0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039"/>
    <w:rPr>
      <w:b/>
      <w:bCs/>
    </w:rPr>
  </w:style>
  <w:style w:type="character" w:styleId="Hyperlink">
    <w:name w:val="Hyperlink"/>
    <w:basedOn w:val="DefaultParagraphFont"/>
    <w:uiPriority w:val="99"/>
    <w:semiHidden/>
    <w:unhideWhenUsed/>
    <w:rsid w:val="00675039"/>
    <w:rPr>
      <w:color w:val="0000FF"/>
      <w:u w:val="single"/>
    </w:rPr>
  </w:style>
</w:styles>
</file>

<file path=word/webSettings.xml><?xml version="1.0" encoding="utf-8"?>
<w:webSettings xmlns:r="http://schemas.openxmlformats.org/officeDocument/2006/relationships" xmlns:w="http://schemas.openxmlformats.org/wordprocessingml/2006/main">
  <w:divs>
    <w:div w:id="1800144587">
      <w:bodyDiv w:val="1"/>
      <w:marLeft w:val="0"/>
      <w:marRight w:val="0"/>
      <w:marTop w:val="0"/>
      <w:marBottom w:val="0"/>
      <w:divBdr>
        <w:top w:val="none" w:sz="0" w:space="0" w:color="auto"/>
        <w:left w:val="none" w:sz="0" w:space="0" w:color="auto"/>
        <w:bottom w:val="none" w:sz="0" w:space="0" w:color="auto"/>
        <w:right w:val="none" w:sz="0" w:space="0" w:color="auto"/>
      </w:divBdr>
    </w:div>
    <w:div w:id="21044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orldbank.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sus.gov/" TargetMode="External"/><Relationship Id="rId11" Type="http://schemas.openxmlformats.org/officeDocument/2006/relationships/hyperlink" Target="https://content.grantham.edu/academics/01_Instructional_Designers/WrittenAssignmentRubric.htm" TargetMode="External"/><Relationship Id="rId5" Type="http://schemas.openxmlformats.org/officeDocument/2006/relationships/hyperlink" Target="http://www.bls.gov/" TargetMode="External"/><Relationship Id="rId10" Type="http://schemas.openxmlformats.org/officeDocument/2006/relationships/hyperlink" Target="http://www.wsj.com/" TargetMode="External"/><Relationship Id="rId4" Type="http://schemas.openxmlformats.org/officeDocument/2006/relationships/hyperlink" Target="https://content.grantham.edu/academics/01_Instructional_Designers/Rules_of_Discussion.html" TargetMode="External"/><Relationship Id="rId9" Type="http://schemas.openxmlformats.org/officeDocument/2006/relationships/hyperlink" Target="http://money.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2021-08-21T13:30:00Z</dcterms:created>
  <dcterms:modified xsi:type="dcterms:W3CDTF">2021-08-21T13:30:00Z</dcterms:modified>
</cp:coreProperties>
</file>