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6AE8D" w14:textId="32A3BAF3" w:rsidR="000F0903" w:rsidRDefault="00E2670E" w:rsidP="00776416">
      <w:pPr>
        <w:pStyle w:val="Title"/>
      </w:pPr>
      <w:r>
        <w:rPr>
          <w:noProof/>
        </w:rPr>
        <w:t>Security Assessment Worksheet</w:t>
      </w:r>
    </w:p>
    <w:p w14:paraId="19A5F7F6" w14:textId="7DAFCC0E" w:rsidR="000F0903" w:rsidRDefault="6A05F782" w:rsidP="6A05F782">
      <w:pPr>
        <w:pStyle w:val="Heading1"/>
      </w:pPr>
      <w:r w:rsidRPr="6A05F782">
        <w:t>Instructions</w:t>
      </w:r>
    </w:p>
    <w:p w14:paraId="21BE21E0" w14:textId="741B4851" w:rsidR="00C10805" w:rsidRDefault="6A05F782" w:rsidP="00C10805">
      <w:r>
        <w:t>The Security Assessment Worksheet is designed to identify individual threats specific to your organization of choice. You will add to the Security Assessment Table in this worksheet as part of your individual assignments in Weeks 1, 2, and 3.</w:t>
      </w:r>
    </w:p>
    <w:p w14:paraId="59602D9E" w14:textId="74316CAB" w:rsidR="001E7CA6" w:rsidRDefault="6A05F782" w:rsidP="001E7CA6">
      <w:r w:rsidRPr="6A05F782">
        <w:rPr>
          <w:b/>
          <w:bCs/>
        </w:rPr>
        <w:t>Identify</w:t>
      </w:r>
      <w:r>
        <w:t xml:space="preserve"> an organization in your area that you feel is in need of additional security.</w:t>
      </w:r>
    </w:p>
    <w:tbl>
      <w:tblPr>
        <w:tblStyle w:val="TableGrid"/>
        <w:tblW w:w="0" w:type="auto"/>
        <w:tblBorders>
          <w:top w:val="single" w:sz="4" w:space="0" w:color="4D3733" w:themeColor="background1"/>
          <w:left w:val="single" w:sz="4" w:space="0" w:color="4D3733" w:themeColor="background1"/>
          <w:bottom w:val="single" w:sz="4" w:space="0" w:color="4D3733" w:themeColor="background1"/>
          <w:right w:val="single" w:sz="4" w:space="0" w:color="4D3733" w:themeColor="background1"/>
          <w:insideH w:val="single" w:sz="4" w:space="0" w:color="4D3733" w:themeColor="background1"/>
          <w:insideV w:val="single" w:sz="4" w:space="0" w:color="4D3733" w:themeColor="background1"/>
        </w:tblBorders>
        <w:tblCellMar>
          <w:top w:w="86" w:type="dxa"/>
          <w:left w:w="115" w:type="dxa"/>
          <w:bottom w:w="86" w:type="dxa"/>
          <w:right w:w="115" w:type="dxa"/>
        </w:tblCellMar>
        <w:tblLook w:val="0620" w:firstRow="1" w:lastRow="0" w:firstColumn="0" w:lastColumn="0" w:noHBand="1" w:noVBand="1"/>
      </w:tblPr>
      <w:tblGrid>
        <w:gridCol w:w="2695"/>
        <w:gridCol w:w="6623"/>
      </w:tblGrid>
      <w:tr w:rsidR="001E7CA6" w:rsidRPr="00776416" w14:paraId="3BB58BBA" w14:textId="77777777" w:rsidTr="6A05F782">
        <w:trPr>
          <w:trHeight w:val="162"/>
          <w:tblHeader/>
        </w:trPr>
        <w:tc>
          <w:tcPr>
            <w:tcW w:w="2695" w:type="dxa"/>
            <w:shd w:val="clear" w:color="auto" w:fill="EDEDED" w:themeFill="accent5"/>
            <w:vAlign w:val="center"/>
          </w:tcPr>
          <w:p w14:paraId="22ECCFA5" w14:textId="18F777AE" w:rsidR="001E7CA6" w:rsidRPr="00776416" w:rsidRDefault="6A05F782" w:rsidP="00C82747">
            <w:pPr>
              <w:spacing w:after="0"/>
            </w:pPr>
            <w:r>
              <w:t>Organization Name</w:t>
            </w:r>
          </w:p>
        </w:tc>
        <w:tc>
          <w:tcPr>
            <w:tcW w:w="6623" w:type="dxa"/>
            <w:shd w:val="clear" w:color="auto" w:fill="auto"/>
            <w:vAlign w:val="center"/>
          </w:tcPr>
          <w:p w14:paraId="71E6BB8A" w14:textId="68B70DD3" w:rsidR="001E7CA6" w:rsidRPr="00776416" w:rsidRDefault="001E7CA6" w:rsidP="001E7CA6">
            <w:pPr>
              <w:spacing w:after="0"/>
            </w:pPr>
          </w:p>
        </w:tc>
      </w:tr>
      <w:tr w:rsidR="004D08C5" w:rsidRPr="00776416" w14:paraId="330A1765" w14:textId="77777777" w:rsidTr="6A05F782">
        <w:trPr>
          <w:trHeight w:val="162"/>
          <w:tblHeader/>
        </w:trPr>
        <w:tc>
          <w:tcPr>
            <w:tcW w:w="2695" w:type="dxa"/>
            <w:shd w:val="clear" w:color="auto" w:fill="EDEDED" w:themeFill="accent5"/>
            <w:vAlign w:val="center"/>
          </w:tcPr>
          <w:p w14:paraId="73D9C6D9" w14:textId="287A539B" w:rsidR="004D08C5" w:rsidRDefault="6A05F782" w:rsidP="00C82747">
            <w:pPr>
              <w:spacing w:after="0"/>
            </w:pPr>
            <w:r>
              <w:t>Organization Address</w:t>
            </w:r>
          </w:p>
        </w:tc>
        <w:tc>
          <w:tcPr>
            <w:tcW w:w="6623" w:type="dxa"/>
            <w:shd w:val="clear" w:color="auto" w:fill="auto"/>
            <w:vAlign w:val="center"/>
          </w:tcPr>
          <w:p w14:paraId="04AE6FF7" w14:textId="77777777" w:rsidR="004D08C5" w:rsidRPr="00776416" w:rsidRDefault="004D08C5" w:rsidP="001E7CA6">
            <w:pPr>
              <w:spacing w:after="0"/>
            </w:pPr>
          </w:p>
        </w:tc>
      </w:tr>
    </w:tbl>
    <w:p w14:paraId="2284E867" w14:textId="66AD5293" w:rsidR="00C10805" w:rsidRDefault="6A05F782" w:rsidP="6A05F782">
      <w:pPr>
        <w:pStyle w:val="Heading1"/>
        <w:spacing w:before="240"/>
      </w:pPr>
      <w:r w:rsidRPr="6A05F782">
        <w:t>Weekly Breakdown</w:t>
      </w:r>
    </w:p>
    <w:p w14:paraId="297E43FC" w14:textId="490B30AA" w:rsidR="00E2670E" w:rsidRDefault="6A05F782" w:rsidP="00E2670E">
      <w:pPr>
        <w:pStyle w:val="Heading2"/>
      </w:pPr>
      <w:r>
        <w:t>Week 1: Threat and Risk Assessment</w:t>
      </w:r>
    </w:p>
    <w:p w14:paraId="51ED6E18" w14:textId="2B3B9ACE" w:rsidR="00C10805" w:rsidRDefault="6A05F782" w:rsidP="00C10805">
      <w:r>
        <w:t>Threats include actions that cause immediate or impending damage. Risk is estimated by allocating a probability score on a scale from 1 to 10, where 1 represents a threat that is least likely to occur and 10 represents a threat that is most likely to occur. Criticality is estimated on a similar scale, where a score of 1 represents a threat that causes the least damage and 10 represents a threat that causes the most damage. Add the two scales to get the estimated total risk score. Upon completion, the ranking score is listed numerically where 1 represents the threat with the highest risk, followed by 2 representing the second highest risk score, and so on until all threats are ranked in order from highest risk to lowest risk.</w:t>
      </w:r>
    </w:p>
    <w:p w14:paraId="23E74E52" w14:textId="22B439F7" w:rsidR="00C10805" w:rsidRPr="00C10805" w:rsidRDefault="6A05F782" w:rsidP="00C10805">
      <w:r w:rsidRPr="6A05F782">
        <w:rPr>
          <w:b/>
          <w:bCs/>
        </w:rPr>
        <w:t>Complete</w:t>
      </w:r>
      <w:r>
        <w:t xml:space="preserve"> the Threat, Risk, and Priority Rank columns of the Security Assessment Table below to include as an appendix to your Week 1 assignment. View the example table for additional guidance.</w:t>
      </w:r>
    </w:p>
    <w:p w14:paraId="10A627C1" w14:textId="2BD77A82" w:rsidR="00C10805" w:rsidRPr="00472F13" w:rsidRDefault="6A05F782" w:rsidP="6A05F782">
      <w:pPr>
        <w:pStyle w:val="AssignmentsLevel2"/>
        <w:rPr>
          <w:color w:val="4D3733" w:themeColor="background1"/>
        </w:rPr>
      </w:pPr>
      <w:r w:rsidRPr="6A05F782">
        <w:rPr>
          <w:color w:val="4D3733" w:themeColor="background1"/>
        </w:rPr>
        <w:t xml:space="preserve">List threats specific to </w:t>
      </w:r>
      <w:r w:rsidRPr="6A05F782">
        <w:rPr>
          <w:color w:val="4D3733" w:themeColor="background1"/>
          <w:lang w:val="en-US"/>
        </w:rPr>
        <w:t>the</w:t>
      </w:r>
      <w:r w:rsidRPr="6A05F782">
        <w:rPr>
          <w:color w:val="4D3733" w:themeColor="background1"/>
        </w:rPr>
        <w:t xml:space="preserve"> organization you selected.</w:t>
      </w:r>
    </w:p>
    <w:p w14:paraId="14C560F3" w14:textId="604B25AD" w:rsidR="0095727E" w:rsidRPr="0095727E" w:rsidRDefault="6A05F782" w:rsidP="6A05F782">
      <w:pPr>
        <w:pStyle w:val="AssignmentsLevel2"/>
        <w:rPr>
          <w:color w:val="4D3733" w:themeColor="background1"/>
        </w:rPr>
      </w:pPr>
      <w:r w:rsidRPr="6A05F782">
        <w:rPr>
          <w:color w:val="4D3733" w:themeColor="background1"/>
        </w:rPr>
        <w:t xml:space="preserve">Add risk </w:t>
      </w:r>
      <w:r w:rsidRPr="6A05F782">
        <w:rPr>
          <w:color w:val="4D3733" w:themeColor="background1"/>
          <w:lang w:val="en-US"/>
        </w:rPr>
        <w:t>estimations—including probability, criticality, and total risk score—for each threat.</w:t>
      </w:r>
    </w:p>
    <w:p w14:paraId="514FCE43" w14:textId="082721DF" w:rsidR="00C10805" w:rsidRPr="00472F13" w:rsidRDefault="6A05F782" w:rsidP="6A05F782">
      <w:pPr>
        <w:pStyle w:val="AssignmentsLevel2"/>
        <w:rPr>
          <w:color w:val="4D3733" w:themeColor="background1"/>
        </w:rPr>
      </w:pPr>
      <w:r w:rsidRPr="6A05F782">
        <w:rPr>
          <w:color w:val="4D3733" w:themeColor="background1"/>
          <w:lang w:val="en-US"/>
        </w:rPr>
        <w:t>Rank the threats in comparison to each other.</w:t>
      </w:r>
    </w:p>
    <w:p w14:paraId="4C209AD4" w14:textId="19E08937" w:rsidR="00E2670E" w:rsidRDefault="6A05F782" w:rsidP="00E2670E">
      <w:pPr>
        <w:pStyle w:val="Heading2"/>
        <w:spacing w:before="240"/>
      </w:pPr>
      <w:r>
        <w:t xml:space="preserve">Week 2: Vulnerability Assessment </w:t>
      </w:r>
    </w:p>
    <w:p w14:paraId="78F42B84" w14:textId="49378806" w:rsidR="00C10805" w:rsidRPr="00C10805" w:rsidRDefault="6A05F782" w:rsidP="00C10805">
      <w:r w:rsidRPr="6A05F782">
        <w:rPr>
          <w:b/>
          <w:bCs/>
        </w:rPr>
        <w:t>Complete</w:t>
      </w:r>
      <w:r>
        <w:t xml:space="preserve"> the Vulnerabilities column of the Security Assessment Table below to include as an appendix to your Week 2 assignment. View the example table for additional guidance.</w:t>
      </w:r>
    </w:p>
    <w:p w14:paraId="5CDA7771" w14:textId="77777777" w:rsidR="00C10805" w:rsidRPr="00472F13" w:rsidRDefault="6A05F782" w:rsidP="6A05F782">
      <w:pPr>
        <w:pStyle w:val="AssignmentsLevel2"/>
        <w:rPr>
          <w:color w:val="4D3733" w:themeColor="background1"/>
        </w:rPr>
      </w:pPr>
      <w:r w:rsidRPr="6A05F782">
        <w:rPr>
          <w:color w:val="4D3733" w:themeColor="background1"/>
        </w:rPr>
        <w:t xml:space="preserve">Consider the vulnerability gaps associated with the </w:t>
      </w:r>
      <w:r w:rsidRPr="6A05F782">
        <w:rPr>
          <w:color w:val="4D3733" w:themeColor="background1"/>
          <w:lang w:val="en-US"/>
        </w:rPr>
        <w:t xml:space="preserve">chosen </w:t>
      </w:r>
      <w:r w:rsidRPr="6A05F782">
        <w:rPr>
          <w:color w:val="4D3733" w:themeColor="background1"/>
        </w:rPr>
        <w:t>organization</w:t>
      </w:r>
      <w:r w:rsidRPr="6A05F782">
        <w:rPr>
          <w:color w:val="4D3733" w:themeColor="background1"/>
          <w:lang w:val="en-US"/>
        </w:rPr>
        <w:t>; these</w:t>
      </w:r>
      <w:r w:rsidRPr="6A05F782">
        <w:rPr>
          <w:color w:val="4D3733" w:themeColor="background1"/>
        </w:rPr>
        <w:t xml:space="preserve"> include vulnerabilities associated with crime trends, terrain, geographical location, weather patterns,</w:t>
      </w:r>
      <w:r w:rsidRPr="6A05F782">
        <w:rPr>
          <w:color w:val="4D3733" w:themeColor="background1"/>
          <w:lang w:val="en-US"/>
        </w:rPr>
        <w:t xml:space="preserve"> and so on.</w:t>
      </w:r>
    </w:p>
    <w:p w14:paraId="44250E88" w14:textId="17FFB96C" w:rsidR="00C10805" w:rsidRPr="00472F13" w:rsidRDefault="6A05F782" w:rsidP="6A05F782">
      <w:pPr>
        <w:pStyle w:val="AssignmentsLevel2"/>
        <w:rPr>
          <w:color w:val="4D3733" w:themeColor="background1"/>
        </w:rPr>
      </w:pPr>
      <w:r w:rsidRPr="6A05F782">
        <w:rPr>
          <w:color w:val="4D3733" w:themeColor="background1"/>
        </w:rPr>
        <w:t xml:space="preserve">List current vulnerabilities </w:t>
      </w:r>
      <w:r w:rsidRPr="6A05F782">
        <w:rPr>
          <w:color w:val="4D3733" w:themeColor="background1"/>
          <w:lang w:val="en-US"/>
        </w:rPr>
        <w:t>that apply to each threat</w:t>
      </w:r>
      <w:r w:rsidRPr="6A05F782">
        <w:rPr>
          <w:color w:val="4D3733" w:themeColor="background1"/>
        </w:rPr>
        <w:t>.</w:t>
      </w:r>
    </w:p>
    <w:p w14:paraId="00E7A783" w14:textId="7E8699C1" w:rsidR="00E2670E" w:rsidRDefault="6A05F782" w:rsidP="00E2670E">
      <w:pPr>
        <w:pStyle w:val="Heading2"/>
        <w:spacing w:before="240"/>
      </w:pPr>
      <w:r>
        <w:lastRenderedPageBreak/>
        <w:t xml:space="preserve">Week 3: Managing Vulnerabilities and Applying Countermeasures </w:t>
      </w:r>
    </w:p>
    <w:p w14:paraId="5DC4785B" w14:textId="1A99D177" w:rsidR="00C10805" w:rsidRPr="00C10805" w:rsidRDefault="6A05F782" w:rsidP="00C10805">
      <w:r w:rsidRPr="6A05F782">
        <w:rPr>
          <w:b/>
          <w:bCs/>
        </w:rPr>
        <w:t>Complete</w:t>
      </w:r>
      <w:r>
        <w:t xml:space="preserve"> the Countermeasures &amp; Cost column of the Security Assessment Table below to include as an appendix to your Week 3 assignment. View the example table for additional guidance.</w:t>
      </w:r>
    </w:p>
    <w:p w14:paraId="75DEC630" w14:textId="77777777" w:rsidR="00C10805" w:rsidRPr="00472F13" w:rsidRDefault="6A05F782" w:rsidP="6A05F782">
      <w:pPr>
        <w:pStyle w:val="AssignmentsLevel2"/>
        <w:rPr>
          <w:color w:val="4D3733" w:themeColor="background1"/>
        </w:rPr>
      </w:pPr>
      <w:r w:rsidRPr="6A05F782">
        <w:rPr>
          <w:color w:val="4D3733" w:themeColor="background1"/>
        </w:rPr>
        <w:t xml:space="preserve">Apply countermeasures to prevent or mitigate the risk and vulnerability associated with each threat. </w:t>
      </w:r>
    </w:p>
    <w:p w14:paraId="7E660E1A" w14:textId="4E169A2C" w:rsidR="00C10805" w:rsidRPr="00472F13" w:rsidRDefault="6A05F782" w:rsidP="6A05F782">
      <w:pPr>
        <w:pStyle w:val="AssignmentsLevel2"/>
        <w:rPr>
          <w:color w:val="4D3733" w:themeColor="background1"/>
        </w:rPr>
      </w:pPr>
      <w:r w:rsidRPr="6A05F782">
        <w:rPr>
          <w:color w:val="4D3733" w:themeColor="background1"/>
        </w:rPr>
        <w:t xml:space="preserve">List </w:t>
      </w:r>
      <w:r w:rsidRPr="6A05F782">
        <w:rPr>
          <w:color w:val="4D3733" w:themeColor="background1"/>
          <w:lang w:val="en-US"/>
        </w:rPr>
        <w:t xml:space="preserve">the </w:t>
      </w:r>
      <w:r w:rsidRPr="6A05F782">
        <w:rPr>
          <w:color w:val="4D3733" w:themeColor="background1"/>
        </w:rPr>
        <w:t>estimate</w:t>
      </w:r>
      <w:r w:rsidRPr="6A05F782">
        <w:rPr>
          <w:color w:val="4D3733" w:themeColor="background1"/>
          <w:lang w:val="en-US"/>
        </w:rPr>
        <w:t>d</w:t>
      </w:r>
      <w:r w:rsidRPr="6A05F782">
        <w:rPr>
          <w:color w:val="4D3733" w:themeColor="background1"/>
        </w:rPr>
        <w:t xml:space="preserve"> cost </w:t>
      </w:r>
      <w:r w:rsidRPr="6A05F782">
        <w:rPr>
          <w:color w:val="4D3733" w:themeColor="background1"/>
          <w:lang w:val="en-US"/>
        </w:rPr>
        <w:t>for each</w:t>
      </w:r>
      <w:r w:rsidRPr="6A05F782">
        <w:rPr>
          <w:color w:val="4D3733" w:themeColor="background1"/>
        </w:rPr>
        <w:t xml:space="preserve"> countermeasure.</w:t>
      </w:r>
    </w:p>
    <w:p w14:paraId="1E096E36" w14:textId="6C34FCDD" w:rsidR="00A14190" w:rsidRDefault="6A05F782" w:rsidP="000054B7">
      <w:pPr>
        <w:pStyle w:val="Heading1"/>
        <w:spacing w:before="240"/>
      </w:pPr>
      <w:r>
        <w:t>Tables</w:t>
      </w:r>
    </w:p>
    <w:p w14:paraId="4B6E5E03" w14:textId="0D0845FD" w:rsidR="000054B7" w:rsidRDefault="6A05F782" w:rsidP="000054B7">
      <w:pPr>
        <w:pStyle w:val="Heading2"/>
      </w:pPr>
      <w:r>
        <w:t>Security Assessment Table Example</w:t>
      </w:r>
    </w:p>
    <w:tbl>
      <w:tblPr>
        <w:tblStyle w:val="TableGrid"/>
        <w:tblW w:w="0" w:type="auto"/>
        <w:tblBorders>
          <w:top w:val="single" w:sz="4" w:space="0" w:color="4D3733" w:themeColor="background1"/>
          <w:left w:val="single" w:sz="4" w:space="0" w:color="4D3733" w:themeColor="background1"/>
          <w:bottom w:val="single" w:sz="4" w:space="0" w:color="4D3733" w:themeColor="background1"/>
          <w:right w:val="single" w:sz="4" w:space="0" w:color="4D3733" w:themeColor="background1"/>
          <w:insideH w:val="single" w:sz="4" w:space="0" w:color="4D3733" w:themeColor="background1"/>
          <w:insideV w:val="single" w:sz="4" w:space="0" w:color="4D3733" w:themeColor="background1"/>
        </w:tblBorders>
        <w:tblCellMar>
          <w:top w:w="86" w:type="dxa"/>
          <w:left w:w="115" w:type="dxa"/>
          <w:bottom w:w="86" w:type="dxa"/>
          <w:right w:w="115" w:type="dxa"/>
        </w:tblCellMar>
        <w:tblLook w:val="0620" w:firstRow="1" w:lastRow="0" w:firstColumn="0" w:lastColumn="0" w:noHBand="1" w:noVBand="1"/>
      </w:tblPr>
      <w:tblGrid>
        <w:gridCol w:w="986"/>
        <w:gridCol w:w="2699"/>
        <w:gridCol w:w="900"/>
        <w:gridCol w:w="2945"/>
        <w:gridCol w:w="1820"/>
      </w:tblGrid>
      <w:tr w:rsidR="000054B7" w14:paraId="28E41CAB" w14:textId="77777777" w:rsidTr="6A05F782">
        <w:trPr>
          <w:tblHeader/>
        </w:trPr>
        <w:tc>
          <w:tcPr>
            <w:tcW w:w="986"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shd w:val="clear" w:color="auto" w:fill="EDEDED" w:themeFill="accent5"/>
            <w:vAlign w:val="center"/>
            <w:hideMark/>
          </w:tcPr>
          <w:p w14:paraId="562A8CED" w14:textId="77777777" w:rsidR="000054B7" w:rsidRDefault="6A05F782">
            <w:pPr>
              <w:spacing w:after="0"/>
              <w:jc w:val="center"/>
            </w:pPr>
            <w:r>
              <w:t>Threat</w:t>
            </w:r>
          </w:p>
        </w:tc>
        <w:tc>
          <w:tcPr>
            <w:tcW w:w="2699"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shd w:val="clear" w:color="auto" w:fill="EDEDED" w:themeFill="accent5"/>
            <w:vAlign w:val="center"/>
            <w:hideMark/>
          </w:tcPr>
          <w:p w14:paraId="396D5284" w14:textId="77777777" w:rsidR="000054B7" w:rsidRDefault="6A05F782">
            <w:pPr>
              <w:spacing w:after="0"/>
              <w:jc w:val="center"/>
            </w:pPr>
            <w:r>
              <w:t>Risk</w:t>
            </w:r>
          </w:p>
        </w:tc>
        <w:tc>
          <w:tcPr>
            <w:tcW w:w="90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shd w:val="clear" w:color="auto" w:fill="EDEDED" w:themeFill="accent5"/>
            <w:vAlign w:val="center"/>
            <w:hideMark/>
          </w:tcPr>
          <w:p w14:paraId="32035371" w14:textId="77777777" w:rsidR="000054B7" w:rsidRDefault="6A05F782">
            <w:pPr>
              <w:spacing w:after="0"/>
              <w:jc w:val="center"/>
            </w:pPr>
            <w:r>
              <w:t>Priority Rank</w:t>
            </w:r>
          </w:p>
        </w:tc>
        <w:tc>
          <w:tcPr>
            <w:tcW w:w="2945"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shd w:val="clear" w:color="auto" w:fill="EDEDED" w:themeFill="accent5"/>
            <w:vAlign w:val="center"/>
            <w:hideMark/>
          </w:tcPr>
          <w:p w14:paraId="44A4E673" w14:textId="77777777" w:rsidR="000054B7" w:rsidRDefault="6A05F782">
            <w:pPr>
              <w:spacing w:after="0"/>
              <w:jc w:val="center"/>
            </w:pPr>
            <w:r>
              <w:t>Vulnerabilities</w:t>
            </w:r>
          </w:p>
        </w:tc>
        <w:tc>
          <w:tcPr>
            <w:tcW w:w="182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shd w:val="clear" w:color="auto" w:fill="EDEDED" w:themeFill="accent5"/>
            <w:hideMark/>
          </w:tcPr>
          <w:p w14:paraId="05299FCD" w14:textId="77777777" w:rsidR="000054B7" w:rsidRDefault="6A05F782">
            <w:pPr>
              <w:spacing w:after="0"/>
              <w:jc w:val="center"/>
            </w:pPr>
            <w:r>
              <w:t>Countermeasures &amp; Cost</w:t>
            </w:r>
          </w:p>
        </w:tc>
      </w:tr>
      <w:tr w:rsidR="000054B7" w14:paraId="499BA567" w14:textId="77777777" w:rsidTr="6A05F782">
        <w:tc>
          <w:tcPr>
            <w:tcW w:w="986"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522C9181" w14:textId="77777777" w:rsidR="000054B7" w:rsidRDefault="6A05F782">
            <w:pPr>
              <w:spacing w:after="0"/>
            </w:pPr>
            <w:r>
              <w:t>Bomb</w:t>
            </w:r>
          </w:p>
        </w:tc>
        <w:tc>
          <w:tcPr>
            <w:tcW w:w="2699"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12D6E359" w14:textId="77777777" w:rsidR="000054B7" w:rsidRDefault="6A05F782" w:rsidP="000054B7">
            <w:pPr>
              <w:pStyle w:val="ListParagraph"/>
              <w:numPr>
                <w:ilvl w:val="0"/>
                <w:numId w:val="9"/>
              </w:numPr>
              <w:spacing w:after="0"/>
            </w:pPr>
            <w:r>
              <w:t>Probability: 3/10</w:t>
            </w:r>
          </w:p>
          <w:p w14:paraId="58DC8CDF" w14:textId="77777777" w:rsidR="000054B7" w:rsidRDefault="6A05F782" w:rsidP="000054B7">
            <w:pPr>
              <w:pStyle w:val="ListParagraph"/>
              <w:numPr>
                <w:ilvl w:val="0"/>
                <w:numId w:val="9"/>
              </w:numPr>
              <w:spacing w:after="0"/>
            </w:pPr>
            <w:r>
              <w:t>Criticality: 9/10</w:t>
            </w:r>
          </w:p>
          <w:p w14:paraId="2015220D" w14:textId="0A87B410" w:rsidR="000054B7" w:rsidRDefault="6A05F782" w:rsidP="000054B7">
            <w:pPr>
              <w:pStyle w:val="ListParagraph"/>
              <w:numPr>
                <w:ilvl w:val="0"/>
                <w:numId w:val="9"/>
              </w:numPr>
              <w:spacing w:after="0"/>
            </w:pPr>
            <w:r>
              <w:t>Total Risk Score: 12/20</w:t>
            </w:r>
          </w:p>
        </w:tc>
        <w:tc>
          <w:tcPr>
            <w:tcW w:w="90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65C81ACC" w14:textId="77777777" w:rsidR="000054B7" w:rsidRDefault="6A05F782">
            <w:pPr>
              <w:spacing w:after="0"/>
            </w:pPr>
            <w:r>
              <w:t>2</w:t>
            </w:r>
          </w:p>
        </w:tc>
        <w:tc>
          <w:tcPr>
            <w:tcW w:w="2945"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48B8E84A" w14:textId="6C83DF85" w:rsidR="000054B7" w:rsidRDefault="6A05F782" w:rsidP="006A72F2">
            <w:pPr>
              <w:spacing w:after="0"/>
            </w:pPr>
            <w:r>
              <w:t>Limited road to building distance; older structure</w:t>
            </w:r>
          </w:p>
        </w:tc>
        <w:tc>
          <w:tcPr>
            <w:tcW w:w="182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hideMark/>
          </w:tcPr>
          <w:p w14:paraId="78B43319" w14:textId="77777777" w:rsidR="000054B7" w:rsidRDefault="6A05F782" w:rsidP="000054B7">
            <w:pPr>
              <w:pStyle w:val="ListParagraph"/>
              <w:numPr>
                <w:ilvl w:val="0"/>
                <w:numId w:val="10"/>
              </w:numPr>
              <w:spacing w:after="0"/>
            </w:pPr>
            <w:r>
              <w:t>Canines = $900/month</w:t>
            </w:r>
          </w:p>
          <w:p w14:paraId="34194C94" w14:textId="77777777" w:rsidR="000054B7" w:rsidRDefault="6A05F782" w:rsidP="000054B7">
            <w:pPr>
              <w:pStyle w:val="ListParagraph"/>
              <w:numPr>
                <w:ilvl w:val="0"/>
                <w:numId w:val="10"/>
              </w:numPr>
              <w:spacing w:after="0"/>
            </w:pPr>
            <w:r>
              <w:t>Bollards = $1,500</w:t>
            </w:r>
          </w:p>
        </w:tc>
      </w:tr>
      <w:tr w:rsidR="000054B7" w14:paraId="67406DD4" w14:textId="77777777" w:rsidTr="6A05F782">
        <w:tc>
          <w:tcPr>
            <w:tcW w:w="986"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73253FE0" w14:textId="77777777" w:rsidR="000054B7" w:rsidRDefault="6A05F782">
            <w:pPr>
              <w:spacing w:after="0"/>
            </w:pPr>
            <w:r>
              <w:t>Robbery</w:t>
            </w:r>
          </w:p>
        </w:tc>
        <w:tc>
          <w:tcPr>
            <w:tcW w:w="2699"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77105DF2" w14:textId="77777777" w:rsidR="000054B7" w:rsidRDefault="6A05F782" w:rsidP="000054B7">
            <w:pPr>
              <w:pStyle w:val="ListParagraph"/>
              <w:numPr>
                <w:ilvl w:val="0"/>
                <w:numId w:val="9"/>
              </w:numPr>
              <w:spacing w:after="0"/>
            </w:pPr>
            <w:r>
              <w:t>Probability: 7/10</w:t>
            </w:r>
          </w:p>
          <w:p w14:paraId="49F10A92" w14:textId="77777777" w:rsidR="000054B7" w:rsidRDefault="6A05F782" w:rsidP="000054B7">
            <w:pPr>
              <w:pStyle w:val="ListParagraph"/>
              <w:numPr>
                <w:ilvl w:val="0"/>
                <w:numId w:val="9"/>
              </w:numPr>
              <w:spacing w:after="0"/>
            </w:pPr>
            <w:r>
              <w:t>Criticality: 7/10</w:t>
            </w:r>
          </w:p>
          <w:p w14:paraId="3F2F4E0B" w14:textId="77777777" w:rsidR="000054B7" w:rsidRDefault="6A05F782" w:rsidP="000054B7">
            <w:pPr>
              <w:pStyle w:val="ListParagraph"/>
              <w:numPr>
                <w:ilvl w:val="0"/>
                <w:numId w:val="9"/>
              </w:numPr>
              <w:spacing w:after="0"/>
            </w:pPr>
            <w:r>
              <w:t>Total Risk Score: 14/20</w:t>
            </w:r>
          </w:p>
        </w:tc>
        <w:tc>
          <w:tcPr>
            <w:tcW w:w="90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14D1CF05" w14:textId="77777777" w:rsidR="000054B7" w:rsidRDefault="6A05F782">
            <w:pPr>
              <w:spacing w:after="0"/>
            </w:pPr>
            <w:r>
              <w:t>1</w:t>
            </w:r>
          </w:p>
        </w:tc>
        <w:tc>
          <w:tcPr>
            <w:tcW w:w="2945"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4FFFB02F" w14:textId="473CA839" w:rsidR="000054B7" w:rsidRDefault="6A05F782" w:rsidP="006A72F2">
            <w:pPr>
              <w:spacing w:after="0"/>
            </w:pPr>
            <w:r w:rsidRPr="6A05F782">
              <w:rPr>
                <w:rFonts w:cs="Arial"/>
              </w:rPr>
              <w:t>No video cameras (CCTV); direct access to freeway</w:t>
            </w:r>
          </w:p>
        </w:tc>
        <w:tc>
          <w:tcPr>
            <w:tcW w:w="182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hideMark/>
          </w:tcPr>
          <w:p w14:paraId="1F16CBD9" w14:textId="77777777" w:rsidR="000054B7" w:rsidRDefault="6A05F782" w:rsidP="6A05F782">
            <w:pPr>
              <w:pStyle w:val="ListParagraph"/>
              <w:numPr>
                <w:ilvl w:val="0"/>
                <w:numId w:val="11"/>
              </w:numPr>
              <w:spacing w:after="0"/>
              <w:rPr>
                <w:rFonts w:cs="Arial"/>
              </w:rPr>
            </w:pPr>
            <w:r w:rsidRPr="6A05F782">
              <w:rPr>
                <w:rFonts w:cs="Arial"/>
              </w:rPr>
              <w:t>Silent alarms = $2,500</w:t>
            </w:r>
          </w:p>
          <w:p w14:paraId="48971654" w14:textId="77777777" w:rsidR="000054B7" w:rsidRDefault="6A05F782" w:rsidP="000054B7">
            <w:pPr>
              <w:pStyle w:val="ListParagraph"/>
              <w:numPr>
                <w:ilvl w:val="0"/>
                <w:numId w:val="11"/>
              </w:numPr>
              <w:spacing w:after="0"/>
            </w:pPr>
            <w:r w:rsidRPr="6A05F782">
              <w:rPr>
                <w:rFonts w:cs="Arial"/>
              </w:rPr>
              <w:t>CCTV = $3,000</w:t>
            </w:r>
          </w:p>
        </w:tc>
      </w:tr>
      <w:tr w:rsidR="000054B7" w14:paraId="72C5AB11" w14:textId="77777777" w:rsidTr="6A05F782">
        <w:tc>
          <w:tcPr>
            <w:tcW w:w="986"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2DC24BA3" w14:textId="77777777" w:rsidR="000054B7" w:rsidRDefault="6A05F782">
            <w:pPr>
              <w:spacing w:after="0"/>
            </w:pPr>
            <w:r>
              <w:t>Sniper Attack</w:t>
            </w:r>
          </w:p>
        </w:tc>
        <w:tc>
          <w:tcPr>
            <w:tcW w:w="2699"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11DC7C17" w14:textId="77777777" w:rsidR="000054B7" w:rsidRDefault="6A05F782" w:rsidP="000054B7">
            <w:pPr>
              <w:pStyle w:val="ListParagraph"/>
              <w:numPr>
                <w:ilvl w:val="0"/>
                <w:numId w:val="9"/>
              </w:numPr>
              <w:spacing w:after="0"/>
            </w:pPr>
            <w:r>
              <w:t>Probability: 1/10</w:t>
            </w:r>
          </w:p>
          <w:p w14:paraId="529149F5" w14:textId="77777777" w:rsidR="000054B7" w:rsidRDefault="6A05F782" w:rsidP="000054B7">
            <w:pPr>
              <w:pStyle w:val="ListParagraph"/>
              <w:numPr>
                <w:ilvl w:val="0"/>
                <w:numId w:val="9"/>
              </w:numPr>
              <w:spacing w:after="0"/>
            </w:pPr>
            <w:r>
              <w:t>Criticality: 7/10</w:t>
            </w:r>
          </w:p>
          <w:p w14:paraId="2ACF2069" w14:textId="77777777" w:rsidR="000054B7" w:rsidRDefault="6A05F782" w:rsidP="000054B7">
            <w:pPr>
              <w:pStyle w:val="ListParagraph"/>
              <w:numPr>
                <w:ilvl w:val="0"/>
                <w:numId w:val="9"/>
              </w:numPr>
              <w:spacing w:after="0"/>
            </w:pPr>
            <w:r>
              <w:t>Total Risk Score: 8/20</w:t>
            </w:r>
          </w:p>
        </w:tc>
        <w:tc>
          <w:tcPr>
            <w:tcW w:w="90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671B1EE7" w14:textId="77777777" w:rsidR="000054B7" w:rsidRDefault="6A05F782">
            <w:pPr>
              <w:spacing w:after="0"/>
            </w:pPr>
            <w:r>
              <w:t>3</w:t>
            </w:r>
          </w:p>
        </w:tc>
        <w:tc>
          <w:tcPr>
            <w:tcW w:w="2945"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167D7E0E" w14:textId="77777777" w:rsidR="000054B7" w:rsidRDefault="6A05F782">
            <w:pPr>
              <w:spacing w:after="0"/>
            </w:pPr>
            <w:r w:rsidRPr="6A05F782">
              <w:rPr>
                <w:rFonts w:cs="Arial"/>
              </w:rPr>
              <w:t>Many high buildings with direct line of sight</w:t>
            </w:r>
          </w:p>
        </w:tc>
        <w:tc>
          <w:tcPr>
            <w:tcW w:w="182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hideMark/>
          </w:tcPr>
          <w:p w14:paraId="67599568" w14:textId="77777777" w:rsidR="000054B7" w:rsidRDefault="6A05F782" w:rsidP="000054B7">
            <w:pPr>
              <w:pStyle w:val="ListParagraph"/>
              <w:numPr>
                <w:ilvl w:val="0"/>
                <w:numId w:val="12"/>
              </w:numPr>
              <w:spacing w:after="0"/>
            </w:pPr>
            <w:r w:rsidRPr="6A05F782">
              <w:rPr>
                <w:rFonts w:cs="Arial"/>
              </w:rPr>
              <w:t>Bulletproof glass = $2,000</w:t>
            </w:r>
          </w:p>
        </w:tc>
      </w:tr>
    </w:tbl>
    <w:p w14:paraId="30BCDCCF" w14:textId="586FBE86" w:rsidR="000054B7" w:rsidRDefault="6A05F782" w:rsidP="000054B7">
      <w:pPr>
        <w:pStyle w:val="Heading2"/>
        <w:spacing w:before="240"/>
      </w:pPr>
      <w:r>
        <w:t>Security Assessment Table Template</w:t>
      </w:r>
    </w:p>
    <w:tbl>
      <w:tblPr>
        <w:tblStyle w:val="TableGrid"/>
        <w:tblW w:w="0" w:type="auto"/>
        <w:tblBorders>
          <w:top w:val="single" w:sz="4" w:space="0" w:color="4D3733" w:themeColor="background1"/>
          <w:left w:val="single" w:sz="4" w:space="0" w:color="4D3733" w:themeColor="background1"/>
          <w:bottom w:val="single" w:sz="4" w:space="0" w:color="4D3733" w:themeColor="background1"/>
          <w:right w:val="single" w:sz="4" w:space="0" w:color="4D3733" w:themeColor="background1"/>
          <w:insideH w:val="single" w:sz="4" w:space="0" w:color="4D3733" w:themeColor="background1"/>
          <w:insideV w:val="single" w:sz="4" w:space="0" w:color="4D3733" w:themeColor="background1"/>
        </w:tblBorders>
        <w:tblLayout w:type="fixed"/>
        <w:tblCellMar>
          <w:top w:w="86" w:type="dxa"/>
          <w:left w:w="115" w:type="dxa"/>
          <w:bottom w:w="86" w:type="dxa"/>
          <w:right w:w="115" w:type="dxa"/>
        </w:tblCellMar>
        <w:tblLook w:val="0620" w:firstRow="1" w:lastRow="0" w:firstColumn="0" w:lastColumn="0" w:noHBand="1" w:noVBand="1"/>
      </w:tblPr>
      <w:tblGrid>
        <w:gridCol w:w="986"/>
        <w:gridCol w:w="2699"/>
        <w:gridCol w:w="900"/>
        <w:gridCol w:w="2945"/>
        <w:gridCol w:w="1820"/>
      </w:tblGrid>
      <w:tr w:rsidR="000054B7" w14:paraId="6065F478" w14:textId="77777777" w:rsidTr="6A05F782">
        <w:trPr>
          <w:tblHeader/>
        </w:trPr>
        <w:tc>
          <w:tcPr>
            <w:tcW w:w="986"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shd w:val="clear" w:color="auto" w:fill="EDEDED" w:themeFill="accent5"/>
            <w:vAlign w:val="center"/>
            <w:hideMark/>
          </w:tcPr>
          <w:p w14:paraId="1311287C" w14:textId="77777777" w:rsidR="000054B7" w:rsidRDefault="6A05F782">
            <w:pPr>
              <w:spacing w:after="0"/>
              <w:jc w:val="center"/>
            </w:pPr>
            <w:r>
              <w:t>Threat</w:t>
            </w:r>
          </w:p>
        </w:tc>
        <w:tc>
          <w:tcPr>
            <w:tcW w:w="2699"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shd w:val="clear" w:color="auto" w:fill="EDEDED" w:themeFill="accent5"/>
            <w:vAlign w:val="center"/>
            <w:hideMark/>
          </w:tcPr>
          <w:p w14:paraId="144AD851" w14:textId="77777777" w:rsidR="000054B7" w:rsidRDefault="6A05F782">
            <w:pPr>
              <w:spacing w:after="0"/>
              <w:jc w:val="center"/>
            </w:pPr>
            <w:r>
              <w:t>Risk</w:t>
            </w:r>
          </w:p>
        </w:tc>
        <w:tc>
          <w:tcPr>
            <w:tcW w:w="90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shd w:val="clear" w:color="auto" w:fill="EDEDED" w:themeFill="accent5"/>
            <w:vAlign w:val="center"/>
            <w:hideMark/>
          </w:tcPr>
          <w:p w14:paraId="165968E8" w14:textId="77777777" w:rsidR="000054B7" w:rsidRDefault="6A05F782">
            <w:pPr>
              <w:spacing w:after="0"/>
              <w:jc w:val="center"/>
            </w:pPr>
            <w:r>
              <w:t>Priority Rank</w:t>
            </w:r>
          </w:p>
        </w:tc>
        <w:tc>
          <w:tcPr>
            <w:tcW w:w="2945"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shd w:val="clear" w:color="auto" w:fill="EDEDED" w:themeFill="accent5"/>
            <w:vAlign w:val="center"/>
            <w:hideMark/>
          </w:tcPr>
          <w:p w14:paraId="7F1A38B6" w14:textId="77777777" w:rsidR="000054B7" w:rsidRDefault="6A05F782">
            <w:pPr>
              <w:spacing w:after="0"/>
              <w:jc w:val="center"/>
            </w:pPr>
            <w:r>
              <w:t>Vulnerabilities</w:t>
            </w:r>
          </w:p>
        </w:tc>
        <w:tc>
          <w:tcPr>
            <w:tcW w:w="182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shd w:val="clear" w:color="auto" w:fill="EDEDED" w:themeFill="accent5"/>
            <w:hideMark/>
          </w:tcPr>
          <w:p w14:paraId="2BFE934E" w14:textId="77777777" w:rsidR="000054B7" w:rsidRDefault="6A05F782">
            <w:pPr>
              <w:spacing w:after="0"/>
              <w:jc w:val="center"/>
            </w:pPr>
            <w:r>
              <w:t>Countermeasures &amp; Cost</w:t>
            </w:r>
          </w:p>
        </w:tc>
      </w:tr>
      <w:tr w:rsidR="000054B7" w14:paraId="69CEBC9C" w14:textId="77777777" w:rsidTr="6A05F782">
        <w:tc>
          <w:tcPr>
            <w:tcW w:w="986"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tcPr>
          <w:p w14:paraId="42609754" w14:textId="77777777" w:rsidR="000054B7" w:rsidRDefault="000054B7">
            <w:pPr>
              <w:spacing w:after="0"/>
            </w:pPr>
          </w:p>
        </w:tc>
        <w:tc>
          <w:tcPr>
            <w:tcW w:w="2699"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0E9A5566" w14:textId="77777777" w:rsidR="000054B7" w:rsidRDefault="6A05F782" w:rsidP="000054B7">
            <w:pPr>
              <w:pStyle w:val="ListParagraph"/>
              <w:numPr>
                <w:ilvl w:val="0"/>
                <w:numId w:val="9"/>
              </w:numPr>
              <w:spacing w:after="0"/>
            </w:pPr>
            <w:r>
              <w:t xml:space="preserve">Probability: </w:t>
            </w:r>
          </w:p>
          <w:p w14:paraId="51CAE266" w14:textId="77777777" w:rsidR="000054B7" w:rsidRDefault="6A05F782" w:rsidP="000054B7">
            <w:pPr>
              <w:pStyle w:val="ListParagraph"/>
              <w:numPr>
                <w:ilvl w:val="0"/>
                <w:numId w:val="9"/>
              </w:numPr>
              <w:spacing w:after="0"/>
            </w:pPr>
            <w:r>
              <w:t>Criticality:</w:t>
            </w:r>
          </w:p>
          <w:p w14:paraId="6F5C53AB" w14:textId="77777777" w:rsidR="000054B7" w:rsidRDefault="6A05F782" w:rsidP="000054B7">
            <w:pPr>
              <w:pStyle w:val="ListParagraph"/>
              <w:numPr>
                <w:ilvl w:val="0"/>
                <w:numId w:val="9"/>
              </w:numPr>
              <w:spacing w:after="0"/>
            </w:pPr>
            <w:r>
              <w:t>Total Risk Score:</w:t>
            </w:r>
          </w:p>
        </w:tc>
        <w:tc>
          <w:tcPr>
            <w:tcW w:w="90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tcPr>
          <w:p w14:paraId="4402C78C" w14:textId="77777777" w:rsidR="000054B7" w:rsidRDefault="000054B7">
            <w:pPr>
              <w:spacing w:after="0"/>
            </w:pPr>
          </w:p>
        </w:tc>
        <w:tc>
          <w:tcPr>
            <w:tcW w:w="2945"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tcPr>
          <w:p w14:paraId="39AE2C96" w14:textId="77777777" w:rsidR="000054B7" w:rsidRDefault="000054B7">
            <w:pPr>
              <w:spacing w:after="0"/>
            </w:pPr>
          </w:p>
        </w:tc>
        <w:tc>
          <w:tcPr>
            <w:tcW w:w="182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tcPr>
          <w:p w14:paraId="69F15174" w14:textId="77777777" w:rsidR="000054B7" w:rsidRDefault="000054B7">
            <w:pPr>
              <w:spacing w:after="0"/>
            </w:pPr>
          </w:p>
        </w:tc>
      </w:tr>
      <w:tr w:rsidR="000054B7" w14:paraId="6AED014F" w14:textId="77777777" w:rsidTr="6A05F782">
        <w:tc>
          <w:tcPr>
            <w:tcW w:w="986"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tcPr>
          <w:p w14:paraId="3B2694F9" w14:textId="77777777" w:rsidR="000054B7" w:rsidRDefault="000054B7">
            <w:pPr>
              <w:spacing w:after="0"/>
            </w:pPr>
          </w:p>
        </w:tc>
        <w:tc>
          <w:tcPr>
            <w:tcW w:w="2699"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522DE84D" w14:textId="77777777" w:rsidR="000054B7" w:rsidRDefault="6A05F782" w:rsidP="000054B7">
            <w:pPr>
              <w:pStyle w:val="ListParagraph"/>
              <w:numPr>
                <w:ilvl w:val="0"/>
                <w:numId w:val="9"/>
              </w:numPr>
              <w:spacing w:after="0"/>
            </w:pPr>
            <w:r>
              <w:t xml:space="preserve">Probability: </w:t>
            </w:r>
          </w:p>
          <w:p w14:paraId="4635B5A1" w14:textId="77777777" w:rsidR="000054B7" w:rsidRDefault="6A05F782" w:rsidP="000054B7">
            <w:pPr>
              <w:pStyle w:val="ListParagraph"/>
              <w:numPr>
                <w:ilvl w:val="0"/>
                <w:numId w:val="9"/>
              </w:numPr>
              <w:spacing w:after="0"/>
            </w:pPr>
            <w:r>
              <w:t>Criticality:</w:t>
            </w:r>
          </w:p>
          <w:p w14:paraId="1585AB4C" w14:textId="77777777" w:rsidR="000054B7" w:rsidRDefault="6A05F782" w:rsidP="000054B7">
            <w:pPr>
              <w:pStyle w:val="ListParagraph"/>
              <w:numPr>
                <w:ilvl w:val="0"/>
                <w:numId w:val="9"/>
              </w:numPr>
              <w:spacing w:after="0"/>
            </w:pPr>
            <w:r>
              <w:t>Total Risk Score:</w:t>
            </w:r>
          </w:p>
        </w:tc>
        <w:tc>
          <w:tcPr>
            <w:tcW w:w="90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tcPr>
          <w:p w14:paraId="440932DD" w14:textId="77777777" w:rsidR="000054B7" w:rsidRDefault="000054B7">
            <w:pPr>
              <w:spacing w:after="0"/>
            </w:pPr>
          </w:p>
        </w:tc>
        <w:tc>
          <w:tcPr>
            <w:tcW w:w="2945"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tcPr>
          <w:p w14:paraId="2FF1213A" w14:textId="77777777" w:rsidR="000054B7" w:rsidRDefault="000054B7">
            <w:pPr>
              <w:spacing w:after="0"/>
            </w:pPr>
          </w:p>
        </w:tc>
        <w:tc>
          <w:tcPr>
            <w:tcW w:w="182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tcPr>
          <w:p w14:paraId="509478D9" w14:textId="77777777" w:rsidR="000054B7" w:rsidRDefault="000054B7">
            <w:pPr>
              <w:spacing w:after="0"/>
            </w:pPr>
          </w:p>
        </w:tc>
      </w:tr>
      <w:tr w:rsidR="000054B7" w14:paraId="36867DE4" w14:textId="77777777" w:rsidTr="6A05F782">
        <w:tc>
          <w:tcPr>
            <w:tcW w:w="986"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tcPr>
          <w:p w14:paraId="215823CB" w14:textId="77777777" w:rsidR="000054B7" w:rsidRDefault="000054B7">
            <w:pPr>
              <w:spacing w:after="0"/>
            </w:pPr>
          </w:p>
        </w:tc>
        <w:tc>
          <w:tcPr>
            <w:tcW w:w="2699"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hideMark/>
          </w:tcPr>
          <w:p w14:paraId="4D61F265" w14:textId="77777777" w:rsidR="000054B7" w:rsidRDefault="6A05F782" w:rsidP="000054B7">
            <w:pPr>
              <w:pStyle w:val="ListParagraph"/>
              <w:numPr>
                <w:ilvl w:val="0"/>
                <w:numId w:val="9"/>
              </w:numPr>
              <w:spacing w:after="0"/>
            </w:pPr>
            <w:r>
              <w:t xml:space="preserve">Probability: </w:t>
            </w:r>
          </w:p>
          <w:p w14:paraId="419CE9C1" w14:textId="77777777" w:rsidR="000054B7" w:rsidRDefault="6A05F782" w:rsidP="000054B7">
            <w:pPr>
              <w:pStyle w:val="ListParagraph"/>
              <w:numPr>
                <w:ilvl w:val="0"/>
                <w:numId w:val="9"/>
              </w:numPr>
              <w:spacing w:after="0"/>
            </w:pPr>
            <w:r>
              <w:t>Criticality:</w:t>
            </w:r>
          </w:p>
          <w:p w14:paraId="3BC05B85" w14:textId="77777777" w:rsidR="000054B7" w:rsidRDefault="6A05F782" w:rsidP="000054B7">
            <w:pPr>
              <w:pStyle w:val="ListParagraph"/>
              <w:numPr>
                <w:ilvl w:val="0"/>
                <w:numId w:val="9"/>
              </w:numPr>
              <w:spacing w:after="0"/>
            </w:pPr>
            <w:r>
              <w:t>Total Risk Score:</w:t>
            </w:r>
          </w:p>
        </w:tc>
        <w:tc>
          <w:tcPr>
            <w:tcW w:w="90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tcPr>
          <w:p w14:paraId="5D83BEF4" w14:textId="77777777" w:rsidR="000054B7" w:rsidRDefault="000054B7">
            <w:pPr>
              <w:spacing w:after="0"/>
            </w:pPr>
          </w:p>
        </w:tc>
        <w:tc>
          <w:tcPr>
            <w:tcW w:w="2945"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vAlign w:val="center"/>
          </w:tcPr>
          <w:p w14:paraId="224174FA" w14:textId="77777777" w:rsidR="000054B7" w:rsidRDefault="000054B7">
            <w:pPr>
              <w:spacing w:after="0"/>
            </w:pPr>
          </w:p>
        </w:tc>
        <w:tc>
          <w:tcPr>
            <w:tcW w:w="1820" w:type="dxa"/>
            <w:tcBorders>
              <w:top w:val="single" w:sz="4" w:space="0" w:color="4D3733" w:themeColor="background1"/>
              <w:left w:val="single" w:sz="4" w:space="0" w:color="4D3733" w:themeColor="background1"/>
              <w:bottom w:val="single" w:sz="4" w:space="0" w:color="4D3733" w:themeColor="background1"/>
              <w:right w:val="single" w:sz="4" w:space="0" w:color="4D3733" w:themeColor="background1"/>
            </w:tcBorders>
          </w:tcPr>
          <w:p w14:paraId="44316899" w14:textId="77777777" w:rsidR="000054B7" w:rsidRDefault="000054B7">
            <w:pPr>
              <w:spacing w:after="0"/>
            </w:pPr>
          </w:p>
        </w:tc>
      </w:tr>
    </w:tbl>
    <w:p w14:paraId="2440A7C9" w14:textId="77777777" w:rsidR="000054B7" w:rsidRPr="000054B7" w:rsidRDefault="000054B7" w:rsidP="000054B7"/>
    <w:sectPr w:rsidR="000054B7" w:rsidRPr="000054B7" w:rsidSect="00776416">
      <w:headerReference w:type="default" r:id="rId12"/>
      <w:head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E1834" w14:textId="77777777" w:rsidR="0075698B" w:rsidRDefault="0075698B" w:rsidP="000F0903">
      <w:pPr>
        <w:spacing w:after="0"/>
      </w:pPr>
      <w:r>
        <w:separator/>
      </w:r>
    </w:p>
  </w:endnote>
  <w:endnote w:type="continuationSeparator" w:id="0">
    <w:p w14:paraId="2F8FA516" w14:textId="77777777" w:rsidR="0075698B" w:rsidRDefault="0075698B" w:rsidP="000F09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Medium">
    <w:altName w:val="Times New Roman"/>
    <w:panose1 w:val="00000000000000000000"/>
    <w:charset w:val="00"/>
    <w:family w:val="auto"/>
    <w:pitch w:val="variable"/>
    <w:sig w:usb0="00000001" w:usb1="5000217F" w:usb2="00000021"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99CF4" w14:textId="77777777" w:rsidR="0075698B" w:rsidRDefault="0075698B" w:rsidP="000F0903">
      <w:pPr>
        <w:spacing w:after="0"/>
      </w:pPr>
      <w:r>
        <w:separator/>
      </w:r>
    </w:p>
  </w:footnote>
  <w:footnote w:type="continuationSeparator" w:id="0">
    <w:p w14:paraId="2A595A4B" w14:textId="77777777" w:rsidR="0075698B" w:rsidRDefault="0075698B" w:rsidP="000F09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23B8" w14:textId="561BAEC6" w:rsidR="0013181E" w:rsidRDefault="6A05F782" w:rsidP="00C10805">
    <w:pPr>
      <w:spacing w:after="0"/>
      <w:ind w:left="8190" w:hanging="1890"/>
      <w:jc w:val="right"/>
    </w:pPr>
    <w:r>
      <w:t>Security Assessment Worksheet</w:t>
    </w:r>
  </w:p>
  <w:p w14:paraId="63761A17" w14:textId="7B47C6F8" w:rsidR="0013181E" w:rsidRDefault="6A05F782" w:rsidP="00654497">
    <w:pPr>
      <w:spacing w:after="0"/>
      <w:ind w:left="8190"/>
      <w:jc w:val="right"/>
    </w:pPr>
    <w:r>
      <w:t>SEC/401 v3</w:t>
    </w:r>
  </w:p>
  <w:p w14:paraId="4160ED49" w14:textId="49A0D4DC" w:rsidR="00654497" w:rsidRPr="00654497" w:rsidRDefault="6A05F782" w:rsidP="00654497">
    <w:pPr>
      <w:spacing w:after="0"/>
      <w:ind w:left="8190"/>
      <w:jc w:val="right"/>
    </w:pPr>
    <w:r>
      <w:t xml:space="preserve">Page </w:t>
    </w:r>
    <w:r w:rsidR="00654497" w:rsidRPr="6A05F782">
      <w:rPr>
        <w:noProof/>
      </w:rPr>
      <w:fldChar w:fldCharType="begin"/>
    </w:r>
    <w:r w:rsidR="00654497" w:rsidRPr="6A05F782">
      <w:rPr>
        <w:noProof/>
      </w:rPr>
      <w:instrText xml:space="preserve"> PAGE  \* Arabic  \* MERGEFORMAT </w:instrText>
    </w:r>
    <w:r w:rsidR="00654497" w:rsidRPr="6A05F782">
      <w:rPr>
        <w:noProof/>
      </w:rPr>
      <w:fldChar w:fldCharType="separate"/>
    </w:r>
    <w:r w:rsidR="00CB06F4">
      <w:rPr>
        <w:noProof/>
      </w:rPr>
      <w:t>2</w:t>
    </w:r>
    <w:r w:rsidR="00654497" w:rsidRPr="6A05F782">
      <w:rPr>
        <w:noProof/>
      </w:rPr>
      <w:fldChar w:fldCharType="end"/>
    </w:r>
    <w:r>
      <w:t xml:space="preserve"> of </w:t>
    </w:r>
    <w:r w:rsidR="00654497" w:rsidRPr="6A05F782">
      <w:rPr>
        <w:noProof/>
      </w:rPr>
      <w:fldChar w:fldCharType="begin"/>
    </w:r>
    <w:r w:rsidR="00654497" w:rsidRPr="6A05F782">
      <w:rPr>
        <w:noProof/>
      </w:rPr>
      <w:instrText xml:space="preserve"> NUMPAGES  \* Arabic  \* MERGEFORMAT </w:instrText>
    </w:r>
    <w:r w:rsidR="00654497" w:rsidRPr="6A05F782">
      <w:rPr>
        <w:noProof/>
      </w:rPr>
      <w:fldChar w:fldCharType="separate"/>
    </w:r>
    <w:r w:rsidR="00CB06F4">
      <w:rPr>
        <w:noProof/>
      </w:rPr>
      <w:t>2</w:t>
    </w:r>
    <w:r w:rsidR="00654497" w:rsidRPr="6A05F78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BC50" w14:textId="0D9B52CC" w:rsidR="00935086" w:rsidRPr="00776416" w:rsidRDefault="6A05F782" w:rsidP="00776416">
    <w:pPr>
      <w:spacing w:after="0"/>
      <w:ind w:left="8100"/>
      <w:jc w:val="right"/>
    </w:pPr>
    <w:r>
      <w:t>SEC/401 v3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6D8F"/>
    <w:multiLevelType w:val="hybridMultilevel"/>
    <w:tmpl w:val="9D30D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CC0DF0"/>
    <w:multiLevelType w:val="hybridMultilevel"/>
    <w:tmpl w:val="48A44A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A5540CA"/>
    <w:multiLevelType w:val="hybridMultilevel"/>
    <w:tmpl w:val="9DE28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2FC36B7"/>
    <w:multiLevelType w:val="hybridMultilevel"/>
    <w:tmpl w:val="B0787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DD559E"/>
    <w:multiLevelType w:val="hybridMultilevel"/>
    <w:tmpl w:val="A1466468"/>
    <w:lvl w:ilvl="0" w:tplc="55ACFDB8">
      <w:start w:val="1"/>
      <w:numFmt w:val="decimal"/>
      <w:pStyle w:val="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CA46D1"/>
    <w:multiLevelType w:val="hybridMultilevel"/>
    <w:tmpl w:val="02A0F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2511720"/>
    <w:multiLevelType w:val="hybridMultilevel"/>
    <w:tmpl w:val="A0906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A16BB"/>
    <w:multiLevelType w:val="hybridMultilevel"/>
    <w:tmpl w:val="5E265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00EF4"/>
    <w:multiLevelType w:val="hybridMultilevel"/>
    <w:tmpl w:val="B8B20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8"/>
  </w:num>
  <w:num w:numId="5">
    <w:abstractNumId w:val="0"/>
  </w:num>
  <w:num w:numId="6">
    <w:abstractNumId w:val="6"/>
  </w:num>
  <w:num w:numId="7">
    <w:abstractNumId w:val="3"/>
  </w:num>
  <w:num w:numId="8">
    <w:abstractNumId w:val="11"/>
  </w:num>
  <w:num w:numId="9">
    <w:abstractNumId w:val="5"/>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qwUAQW3oeywAAAA="/>
  </w:docVars>
  <w:rsids>
    <w:rsidRoot w:val="00B7574F"/>
    <w:rsid w:val="000054B7"/>
    <w:rsid w:val="000C0803"/>
    <w:rsid w:val="000D2169"/>
    <w:rsid w:val="000F0903"/>
    <w:rsid w:val="0013181E"/>
    <w:rsid w:val="001602BB"/>
    <w:rsid w:val="001A3173"/>
    <w:rsid w:val="001E7CA6"/>
    <w:rsid w:val="00201214"/>
    <w:rsid w:val="00207997"/>
    <w:rsid w:val="00224434"/>
    <w:rsid w:val="00270C10"/>
    <w:rsid w:val="0033144D"/>
    <w:rsid w:val="00360D3A"/>
    <w:rsid w:val="00427F4C"/>
    <w:rsid w:val="004500DE"/>
    <w:rsid w:val="004759BE"/>
    <w:rsid w:val="004D08C5"/>
    <w:rsid w:val="004E303C"/>
    <w:rsid w:val="005002EC"/>
    <w:rsid w:val="00532293"/>
    <w:rsid w:val="005702EF"/>
    <w:rsid w:val="005F5BC8"/>
    <w:rsid w:val="00654497"/>
    <w:rsid w:val="0066315B"/>
    <w:rsid w:val="006A72F2"/>
    <w:rsid w:val="0075698B"/>
    <w:rsid w:val="007728C9"/>
    <w:rsid w:val="00776416"/>
    <w:rsid w:val="007A0EAB"/>
    <w:rsid w:val="007D123B"/>
    <w:rsid w:val="00854881"/>
    <w:rsid w:val="008B4B1A"/>
    <w:rsid w:val="00935086"/>
    <w:rsid w:val="00935F80"/>
    <w:rsid w:val="0095727E"/>
    <w:rsid w:val="009C241D"/>
    <w:rsid w:val="009C48ED"/>
    <w:rsid w:val="009E0D9C"/>
    <w:rsid w:val="00A03896"/>
    <w:rsid w:val="00A14190"/>
    <w:rsid w:val="00A621B0"/>
    <w:rsid w:val="00B1207F"/>
    <w:rsid w:val="00B3325E"/>
    <w:rsid w:val="00B7574F"/>
    <w:rsid w:val="00BB5B6F"/>
    <w:rsid w:val="00C032FD"/>
    <w:rsid w:val="00C10805"/>
    <w:rsid w:val="00C610B2"/>
    <w:rsid w:val="00C82747"/>
    <w:rsid w:val="00CB06F4"/>
    <w:rsid w:val="00CC6145"/>
    <w:rsid w:val="00CD6AD1"/>
    <w:rsid w:val="00D2123C"/>
    <w:rsid w:val="00DA2EA0"/>
    <w:rsid w:val="00DE1A94"/>
    <w:rsid w:val="00E2670E"/>
    <w:rsid w:val="00E65CEA"/>
    <w:rsid w:val="00EA4138"/>
    <w:rsid w:val="00ED01FB"/>
    <w:rsid w:val="00ED5594"/>
    <w:rsid w:val="00F7576F"/>
    <w:rsid w:val="26788116"/>
    <w:rsid w:val="6A05F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E664"/>
  <w15:chartTrackingRefBased/>
  <w15:docId w15:val="{90193903-0929-48A8-854C-7CA31A10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A03896"/>
    <w:pPr>
      <w:spacing w:before="840"/>
    </w:pPr>
    <w:rPr>
      <w:rFonts w:eastAsiaTheme="majorEastAsia" w:cstheme="majorBidi"/>
      <w:b/>
      <w:color w:val="DE3518"/>
      <w:spacing w:val="-10"/>
      <w:kern w:val="28"/>
      <w:sz w:val="44"/>
      <w:szCs w:val="56"/>
    </w:rPr>
  </w:style>
  <w:style w:type="character" w:customStyle="1" w:styleId="TitleChar">
    <w:name w:val="Title Char"/>
    <w:basedOn w:val="DefaultParagraphFont"/>
    <w:link w:val="Title"/>
    <w:uiPriority w:val="10"/>
    <w:rsid w:val="00A03896"/>
    <w:rPr>
      <w:rFonts w:ascii="Arial" w:eastAsiaTheme="majorEastAsia" w:hAnsi="Arial" w:cstheme="majorBidi"/>
      <w:b/>
      <w:color w:val="DE3518"/>
      <w:spacing w:val="-10"/>
      <w:kern w:val="28"/>
      <w:sz w:val="44"/>
      <w:szCs w:val="56"/>
    </w:rPr>
  </w:style>
  <w:style w:type="paragraph" w:customStyle="1" w:styleId="Numberedlist">
    <w:name w:val="Numbered list"/>
    <w:basedOn w:val="ListParagraph"/>
    <w:link w:val="NumberedlistChar"/>
    <w:qFormat/>
    <w:rsid w:val="00776416"/>
    <w:pPr>
      <w:numPr>
        <w:numId w:val="1"/>
      </w:numPr>
      <w:spacing w:before="60" w:after="6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776416"/>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paragraph" w:styleId="Subtitle">
    <w:name w:val="Subtitle"/>
    <w:basedOn w:val="Normal"/>
    <w:next w:val="Normal"/>
    <w:link w:val="SubtitleChar"/>
    <w:uiPriority w:val="11"/>
    <w:rsid w:val="0033144D"/>
    <w:pPr>
      <w:numPr>
        <w:ilvl w:val="1"/>
      </w:numPr>
    </w:pPr>
    <w:rPr>
      <w:rFonts w:asciiTheme="minorHAnsi" w:eastAsiaTheme="minorEastAsia" w:hAnsiTheme="minorHAnsi"/>
      <w:color w:val="EE7864" w:themeColor="text1" w:themeTint="A5"/>
      <w:spacing w:val="15"/>
      <w:sz w:val="22"/>
    </w:rPr>
  </w:style>
  <w:style w:type="character" w:customStyle="1" w:styleId="SubtitleChar">
    <w:name w:val="Subtitle Char"/>
    <w:basedOn w:val="DefaultParagraphFont"/>
    <w:link w:val="Subtitle"/>
    <w:uiPriority w:val="11"/>
    <w:rsid w:val="0033144D"/>
    <w:rPr>
      <w:rFonts w:eastAsiaTheme="minorEastAsia"/>
      <w:color w:val="EE7864" w:themeColor="text1" w:themeTint="A5"/>
      <w:spacing w:val="15"/>
    </w:rPr>
  </w:style>
  <w:style w:type="character" w:styleId="FollowedHyperlink">
    <w:name w:val="FollowedHyperlink"/>
    <w:basedOn w:val="DefaultParagraphFont"/>
    <w:uiPriority w:val="99"/>
    <w:semiHidden/>
    <w:unhideWhenUsed/>
    <w:rsid w:val="001602BB"/>
    <w:rPr>
      <w:color w:val="018391" w:themeColor="followedHyperlink"/>
      <w:u w:val="single"/>
    </w:rPr>
  </w:style>
  <w:style w:type="paragraph" w:styleId="IntenseQuote">
    <w:name w:val="Intense Quote"/>
    <w:basedOn w:val="Normal"/>
    <w:next w:val="Normal"/>
    <w:link w:val="IntenseQuoteChar"/>
    <w:uiPriority w:val="30"/>
    <w:qFormat/>
    <w:rsid w:val="00A621B0"/>
    <w:pPr>
      <w:pBdr>
        <w:top w:val="single" w:sz="4" w:space="10" w:color="4D3733"/>
        <w:bottom w:val="single" w:sz="4" w:space="10" w:color="4D3733"/>
      </w:pBdr>
      <w:spacing w:before="360" w:after="360"/>
      <w:ind w:left="864" w:right="864"/>
      <w:jc w:val="center"/>
    </w:pPr>
    <w:rPr>
      <w:rFonts w:ascii="Roboto" w:hAnsi="Roboto"/>
      <w:i/>
      <w:iCs/>
      <w:color w:val="018391"/>
      <w:sz w:val="24"/>
    </w:rPr>
  </w:style>
  <w:style w:type="character" w:customStyle="1" w:styleId="IntenseQuoteChar">
    <w:name w:val="Intense Quote Char"/>
    <w:basedOn w:val="DefaultParagraphFont"/>
    <w:link w:val="IntenseQuote"/>
    <w:uiPriority w:val="30"/>
    <w:rsid w:val="00A621B0"/>
    <w:rPr>
      <w:rFonts w:ascii="Roboto" w:hAnsi="Roboto"/>
      <w:i/>
      <w:iCs/>
      <w:color w:val="018391"/>
      <w:sz w:val="24"/>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670E"/>
    <w:rPr>
      <w:sz w:val="16"/>
      <w:szCs w:val="16"/>
    </w:rPr>
  </w:style>
  <w:style w:type="paragraph" w:styleId="CommentText">
    <w:name w:val="annotation text"/>
    <w:basedOn w:val="Normal"/>
    <w:link w:val="CommentTextChar"/>
    <w:uiPriority w:val="99"/>
    <w:semiHidden/>
    <w:unhideWhenUsed/>
    <w:rsid w:val="00E2670E"/>
    <w:rPr>
      <w:szCs w:val="20"/>
    </w:rPr>
  </w:style>
  <w:style w:type="character" w:customStyle="1" w:styleId="CommentTextChar">
    <w:name w:val="Comment Text Char"/>
    <w:basedOn w:val="DefaultParagraphFont"/>
    <w:link w:val="CommentText"/>
    <w:uiPriority w:val="99"/>
    <w:semiHidden/>
    <w:rsid w:val="00E2670E"/>
    <w:rPr>
      <w:rFonts w:ascii="Arial" w:hAnsi="Arial"/>
      <w:color w:val="4D3733" w:themeColor="background1"/>
      <w:sz w:val="20"/>
      <w:szCs w:val="20"/>
    </w:rPr>
  </w:style>
  <w:style w:type="paragraph" w:styleId="BalloonText">
    <w:name w:val="Balloon Text"/>
    <w:basedOn w:val="Normal"/>
    <w:link w:val="BalloonTextChar"/>
    <w:uiPriority w:val="99"/>
    <w:semiHidden/>
    <w:unhideWhenUsed/>
    <w:rsid w:val="00E267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70E"/>
    <w:rPr>
      <w:rFonts w:ascii="Segoe UI" w:hAnsi="Segoe UI" w:cs="Segoe UI"/>
      <w:color w:val="4D3733" w:themeColor="background1"/>
      <w:sz w:val="18"/>
      <w:szCs w:val="18"/>
    </w:rPr>
  </w:style>
  <w:style w:type="paragraph" w:styleId="CommentSubject">
    <w:name w:val="annotation subject"/>
    <w:basedOn w:val="CommentText"/>
    <w:next w:val="CommentText"/>
    <w:link w:val="CommentSubjectChar"/>
    <w:uiPriority w:val="99"/>
    <w:semiHidden/>
    <w:unhideWhenUsed/>
    <w:rsid w:val="00E2670E"/>
    <w:rPr>
      <w:b/>
      <w:bCs/>
    </w:rPr>
  </w:style>
  <w:style w:type="character" w:customStyle="1" w:styleId="CommentSubjectChar">
    <w:name w:val="Comment Subject Char"/>
    <w:basedOn w:val="CommentTextChar"/>
    <w:link w:val="CommentSubject"/>
    <w:uiPriority w:val="99"/>
    <w:semiHidden/>
    <w:rsid w:val="00E2670E"/>
    <w:rPr>
      <w:rFonts w:ascii="Arial" w:hAnsi="Arial"/>
      <w:b/>
      <w:bCs/>
      <w:color w:val="4D3733" w:themeColor="background1"/>
      <w:sz w:val="20"/>
      <w:szCs w:val="20"/>
    </w:rPr>
  </w:style>
  <w:style w:type="paragraph" w:customStyle="1" w:styleId="AssignmentsLevel2">
    <w:name w:val="Assignments Level 2"/>
    <w:basedOn w:val="Normal"/>
    <w:link w:val="AssignmentsLevel2Char"/>
    <w:qFormat/>
    <w:rsid w:val="00C10805"/>
    <w:pPr>
      <w:widowControl w:val="0"/>
      <w:numPr>
        <w:numId w:val="8"/>
      </w:numPr>
      <w:spacing w:after="0"/>
      <w:ind w:left="360"/>
    </w:pPr>
    <w:rPr>
      <w:rFonts w:eastAsia="Times New Roman" w:cs="Times New Roman"/>
      <w:color w:val="auto"/>
      <w:szCs w:val="20"/>
      <w:lang w:val="x-none" w:eastAsia="x-none"/>
    </w:rPr>
  </w:style>
  <w:style w:type="paragraph" w:customStyle="1" w:styleId="AssignmentsLevel3">
    <w:name w:val="Assignments Level 3"/>
    <w:basedOn w:val="AssignmentsLevel2"/>
    <w:qFormat/>
    <w:rsid w:val="00C10805"/>
    <w:pPr>
      <w:numPr>
        <w:ilvl w:val="1"/>
      </w:numPr>
      <w:ind w:left="720"/>
    </w:pPr>
  </w:style>
  <w:style w:type="paragraph" w:customStyle="1" w:styleId="AssignmentsLevel4">
    <w:name w:val="Assignments Level 4"/>
    <w:basedOn w:val="AssignmentsLevel3"/>
    <w:qFormat/>
    <w:rsid w:val="00C10805"/>
    <w:pPr>
      <w:numPr>
        <w:ilvl w:val="2"/>
      </w:numPr>
      <w:tabs>
        <w:tab w:val="num" w:pos="360"/>
        <w:tab w:val="num" w:pos="2160"/>
      </w:tabs>
      <w:ind w:left="1080"/>
    </w:pPr>
  </w:style>
  <w:style w:type="character" w:customStyle="1" w:styleId="AssignmentsLevel2Char">
    <w:name w:val="Assignments Level 2 Char"/>
    <w:basedOn w:val="DefaultParagraphFont"/>
    <w:link w:val="AssignmentsLevel2"/>
    <w:rsid w:val="00C10805"/>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333177">
      <w:bodyDiv w:val="1"/>
      <w:marLeft w:val="0"/>
      <w:marRight w:val="0"/>
      <w:marTop w:val="0"/>
      <w:marBottom w:val="0"/>
      <w:divBdr>
        <w:top w:val="none" w:sz="0" w:space="0" w:color="auto"/>
        <w:left w:val="none" w:sz="0" w:space="0" w:color="auto"/>
        <w:bottom w:val="none" w:sz="0" w:space="0" w:color="auto"/>
        <w:right w:val="none" w:sz="0" w:space="0" w:color="auto"/>
      </w:divBdr>
    </w:div>
    <w:div w:id="20351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0" ma:contentTypeDescription="Create a new document." ma:contentTypeScope="" ma:versionID="b7f69c9138e3042e45296faf7ff04e63">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c0d88f039b040f7f5d618a0ba4dff914"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281057-E185-4AFF-9A8E-E63BF6CEA509}">
  <ds:schemaRefs>
    <ds:schemaRef ds:uri="http://schemas.openxmlformats.org/officeDocument/2006/bibliography"/>
  </ds:schemaRefs>
</ds:datastoreItem>
</file>

<file path=customXml/itemProps3.xml><?xml version="1.0" encoding="utf-8"?>
<ds:datastoreItem xmlns:ds="http://schemas.openxmlformats.org/officeDocument/2006/customXml" ds:itemID="{77724B56-BD48-49AF-B610-3AD9A6098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s>
</ds:datastoreItem>
</file>

<file path=customXml/itemProps5.xml><?xml version="1.0" encoding="utf-8"?>
<ds:datastoreItem xmlns:ds="http://schemas.openxmlformats.org/officeDocument/2006/customXml" ds:itemID="{E2A5818B-0543-49BA-99E9-4FF239410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Company>Apollo Group</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Ron Porter</cp:lastModifiedBy>
  <cp:revision>2</cp:revision>
  <dcterms:created xsi:type="dcterms:W3CDTF">2020-09-19T22:15:00Z</dcterms:created>
  <dcterms:modified xsi:type="dcterms:W3CDTF">2020-09-19T22:15:00Z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ies>
</file>