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7F6D" w:rsidRPr="00F85A2F" w:rsidRDefault="00B47F6D" w:rsidP="00F85A2F">
      <w:pPr>
        <w:contextualSpacing/>
        <w:jc w:val="center"/>
        <w:rPr>
          <w:rFonts w:cs="Times New Roman"/>
        </w:rPr>
      </w:pPr>
    </w:p>
    <w:p w:rsidR="00B47F6D" w:rsidRPr="00F85A2F" w:rsidRDefault="00B47F6D" w:rsidP="00F85A2F">
      <w:pPr>
        <w:contextualSpacing/>
        <w:jc w:val="center"/>
        <w:rPr>
          <w:rFonts w:cs="Times New Roman"/>
        </w:rPr>
      </w:pPr>
    </w:p>
    <w:p w:rsidR="00B47F6D" w:rsidRPr="00F85A2F" w:rsidRDefault="00B47F6D" w:rsidP="00F85A2F">
      <w:pPr>
        <w:contextualSpacing/>
        <w:jc w:val="center"/>
        <w:rPr>
          <w:rFonts w:cs="Times New Roman"/>
        </w:rPr>
      </w:pPr>
    </w:p>
    <w:p w:rsidR="00B47F6D" w:rsidRPr="00F85A2F" w:rsidRDefault="00B47F6D" w:rsidP="00F85A2F">
      <w:pPr>
        <w:contextualSpacing/>
        <w:jc w:val="center"/>
        <w:rPr>
          <w:rFonts w:cs="Times New Roman"/>
        </w:rPr>
      </w:pPr>
    </w:p>
    <w:p w:rsidR="00B47F6D" w:rsidRPr="00F85A2F" w:rsidRDefault="00B47F6D" w:rsidP="00F85A2F">
      <w:pPr>
        <w:contextualSpacing/>
        <w:jc w:val="center"/>
        <w:rPr>
          <w:rFonts w:cs="Times New Roman"/>
        </w:rPr>
      </w:pPr>
    </w:p>
    <w:p w:rsidR="00B47F6D" w:rsidRPr="00F85A2F" w:rsidRDefault="00B47F6D" w:rsidP="00F85A2F">
      <w:pPr>
        <w:contextualSpacing/>
        <w:jc w:val="center"/>
        <w:rPr>
          <w:rFonts w:cs="Times New Roman"/>
        </w:rPr>
      </w:pPr>
    </w:p>
    <w:p w:rsidR="00B47F6D" w:rsidRPr="00F85A2F" w:rsidRDefault="00B47F6D" w:rsidP="00F85A2F">
      <w:pPr>
        <w:contextualSpacing/>
        <w:jc w:val="center"/>
        <w:rPr>
          <w:rFonts w:cs="Times New Roman"/>
        </w:rPr>
      </w:pPr>
    </w:p>
    <w:p w:rsidR="00B47F6D" w:rsidRPr="00F85A2F" w:rsidRDefault="00B47F6D" w:rsidP="00F85A2F">
      <w:pPr>
        <w:contextualSpacing/>
        <w:jc w:val="center"/>
        <w:rPr>
          <w:rFonts w:cs="Times New Roman"/>
        </w:rPr>
      </w:pPr>
    </w:p>
    <w:p w:rsidR="00926FD5" w:rsidRPr="00F85A2F" w:rsidRDefault="00356B50" w:rsidP="00F85A2F">
      <w:pPr>
        <w:contextualSpacing/>
        <w:jc w:val="center"/>
        <w:rPr>
          <w:rFonts w:cs="Times New Roman"/>
        </w:rPr>
      </w:pPr>
      <w:r w:rsidRPr="00F85A2F">
        <w:rPr>
          <w:rFonts w:cs="Times New Roman"/>
        </w:rPr>
        <w:t>Applying Research Skills</w:t>
      </w:r>
      <w:r w:rsidR="00DE7D9E" w:rsidRPr="00F85A2F">
        <w:rPr>
          <w:rFonts w:cs="Times New Roman"/>
        </w:rPr>
        <w:t>; Limited Access to Medical Care</w:t>
      </w:r>
    </w:p>
    <w:p w:rsidR="00926FD5" w:rsidRPr="00F85A2F" w:rsidRDefault="00356B50" w:rsidP="00F85A2F">
      <w:pPr>
        <w:contextualSpacing/>
        <w:jc w:val="center"/>
        <w:rPr>
          <w:rFonts w:cs="Times New Roman"/>
        </w:rPr>
      </w:pPr>
      <w:r w:rsidRPr="00F85A2F">
        <w:rPr>
          <w:rFonts w:cs="Times New Roman"/>
        </w:rPr>
        <w:t>Name of Student:</w:t>
      </w:r>
    </w:p>
    <w:p w:rsidR="00926FD5" w:rsidRPr="00F85A2F" w:rsidRDefault="00356B50" w:rsidP="00F85A2F">
      <w:pPr>
        <w:contextualSpacing/>
        <w:jc w:val="center"/>
        <w:rPr>
          <w:rFonts w:cs="Times New Roman"/>
        </w:rPr>
      </w:pPr>
      <w:r w:rsidRPr="00F85A2F">
        <w:rPr>
          <w:rFonts w:cs="Times New Roman"/>
        </w:rPr>
        <w:t>Institution Affiliated:</w:t>
      </w:r>
    </w:p>
    <w:p w:rsidR="00926FD5" w:rsidRPr="00F85A2F" w:rsidRDefault="00356B50" w:rsidP="00F85A2F">
      <w:pPr>
        <w:contextualSpacing/>
        <w:jc w:val="center"/>
        <w:rPr>
          <w:rFonts w:cs="Times New Roman"/>
        </w:rPr>
      </w:pPr>
      <w:r w:rsidRPr="00F85A2F">
        <w:rPr>
          <w:rFonts w:cs="Times New Roman"/>
        </w:rPr>
        <w:t>Date:</w:t>
      </w:r>
    </w:p>
    <w:p w:rsidR="00B47F6D" w:rsidRPr="00F85A2F" w:rsidRDefault="00B47F6D" w:rsidP="00F85A2F">
      <w:pPr>
        <w:contextualSpacing/>
        <w:jc w:val="center"/>
        <w:rPr>
          <w:rFonts w:cs="Times New Roman"/>
        </w:rPr>
      </w:pPr>
    </w:p>
    <w:p w:rsidR="00B47F6D" w:rsidRPr="00F85A2F" w:rsidRDefault="00B47F6D" w:rsidP="00F85A2F">
      <w:pPr>
        <w:contextualSpacing/>
        <w:jc w:val="center"/>
        <w:rPr>
          <w:rFonts w:cs="Times New Roman"/>
        </w:rPr>
      </w:pPr>
    </w:p>
    <w:p w:rsidR="00B47F6D" w:rsidRPr="00F85A2F" w:rsidRDefault="00B47F6D" w:rsidP="00F85A2F">
      <w:pPr>
        <w:contextualSpacing/>
        <w:jc w:val="center"/>
        <w:rPr>
          <w:rFonts w:cs="Times New Roman"/>
        </w:rPr>
      </w:pPr>
    </w:p>
    <w:p w:rsidR="00B47F6D" w:rsidRPr="00F85A2F" w:rsidRDefault="00B47F6D" w:rsidP="00F85A2F">
      <w:pPr>
        <w:contextualSpacing/>
        <w:jc w:val="center"/>
        <w:rPr>
          <w:rFonts w:cs="Times New Roman"/>
        </w:rPr>
      </w:pPr>
    </w:p>
    <w:p w:rsidR="00B47F6D" w:rsidRPr="00F85A2F" w:rsidRDefault="00B47F6D" w:rsidP="00F85A2F">
      <w:pPr>
        <w:contextualSpacing/>
        <w:jc w:val="center"/>
        <w:rPr>
          <w:rFonts w:cs="Times New Roman"/>
        </w:rPr>
      </w:pPr>
    </w:p>
    <w:p w:rsidR="00B47F6D" w:rsidRPr="00F85A2F" w:rsidRDefault="00B47F6D" w:rsidP="00F85A2F">
      <w:pPr>
        <w:contextualSpacing/>
        <w:jc w:val="center"/>
        <w:rPr>
          <w:rFonts w:cs="Times New Roman"/>
        </w:rPr>
      </w:pPr>
    </w:p>
    <w:p w:rsidR="00B47F6D" w:rsidRPr="00F85A2F" w:rsidRDefault="00B47F6D" w:rsidP="00F85A2F">
      <w:pPr>
        <w:contextualSpacing/>
        <w:jc w:val="center"/>
        <w:rPr>
          <w:rFonts w:cs="Times New Roman"/>
        </w:rPr>
      </w:pPr>
    </w:p>
    <w:p w:rsidR="00B47F6D" w:rsidRPr="00F85A2F" w:rsidRDefault="00B47F6D" w:rsidP="00F85A2F">
      <w:pPr>
        <w:contextualSpacing/>
        <w:jc w:val="center"/>
        <w:rPr>
          <w:rFonts w:cs="Times New Roman"/>
        </w:rPr>
      </w:pPr>
    </w:p>
    <w:p w:rsidR="00B47F6D" w:rsidRPr="00F85A2F" w:rsidRDefault="00B47F6D" w:rsidP="00F85A2F">
      <w:pPr>
        <w:contextualSpacing/>
        <w:jc w:val="center"/>
        <w:rPr>
          <w:rFonts w:cs="Times New Roman"/>
        </w:rPr>
      </w:pPr>
    </w:p>
    <w:p w:rsidR="00B47F6D" w:rsidRPr="00F85A2F" w:rsidRDefault="00B47F6D" w:rsidP="00F85A2F">
      <w:pPr>
        <w:contextualSpacing/>
        <w:jc w:val="center"/>
        <w:rPr>
          <w:rFonts w:cs="Times New Roman"/>
        </w:rPr>
      </w:pPr>
    </w:p>
    <w:p w:rsidR="00B47F6D" w:rsidRPr="00F85A2F" w:rsidRDefault="00B47F6D" w:rsidP="00F85A2F">
      <w:pPr>
        <w:contextualSpacing/>
        <w:jc w:val="center"/>
        <w:rPr>
          <w:rFonts w:cs="Times New Roman"/>
        </w:rPr>
      </w:pPr>
    </w:p>
    <w:p w:rsidR="002F2F59" w:rsidRPr="00F85A2F" w:rsidRDefault="00356B50" w:rsidP="00F85A2F">
      <w:pPr>
        <w:contextualSpacing/>
        <w:jc w:val="center"/>
        <w:rPr>
          <w:rFonts w:cs="Times New Roman"/>
        </w:rPr>
      </w:pPr>
      <w:r w:rsidRPr="00F85A2F">
        <w:rPr>
          <w:rFonts w:cs="Times New Roman"/>
        </w:rPr>
        <w:lastRenderedPageBreak/>
        <w:t>Applying Research Skills; Limited Access to Medical Care</w:t>
      </w:r>
    </w:p>
    <w:p w:rsidR="00490901" w:rsidRPr="00F85A2F" w:rsidRDefault="00356B50" w:rsidP="00F85A2F">
      <w:pPr>
        <w:ind w:firstLine="720"/>
        <w:contextualSpacing/>
        <w:rPr>
          <w:rFonts w:cs="Times New Roman"/>
        </w:rPr>
      </w:pPr>
      <w:r w:rsidRPr="00F85A2F">
        <w:rPr>
          <w:rFonts w:cs="Times New Roman"/>
        </w:rPr>
        <w:t xml:space="preserve">Healthcare </w:t>
      </w:r>
      <w:r w:rsidR="009075D1" w:rsidRPr="00F85A2F">
        <w:rPr>
          <w:rFonts w:cs="Times New Roman"/>
        </w:rPr>
        <w:t>services are</w:t>
      </w:r>
      <w:r w:rsidRPr="00F85A2F">
        <w:rPr>
          <w:rFonts w:cs="Times New Roman"/>
        </w:rPr>
        <w:t xml:space="preserve"> an integral part of the growth and development of human beings. Access to excellent healthcare services is a necessity. However, not everyone across the world has access to essential healthcare services. </w:t>
      </w:r>
      <w:r w:rsidR="009075D1" w:rsidRPr="00F85A2F">
        <w:rPr>
          <w:rFonts w:cs="Times New Roman"/>
        </w:rPr>
        <w:t xml:space="preserve">Consumers face limited access to healthcare services for several reasons. </w:t>
      </w:r>
      <w:r w:rsidR="00CD7093" w:rsidRPr="00F85A2F">
        <w:rPr>
          <w:rFonts w:cs="Times New Roman"/>
        </w:rPr>
        <w:t xml:space="preserve">Some of these reasons include limited healthcare providers, geographical location, financial constraints coupled with lack of or expensive medical insurance plans, mobility, and transportation issues. </w:t>
      </w:r>
      <w:r w:rsidR="00063507" w:rsidRPr="00F85A2F">
        <w:rPr>
          <w:rFonts w:cs="Times New Roman"/>
        </w:rPr>
        <w:t>Ensuring proper and easy access to medical care services is essential; it is one way through which governments ensure the attainment of the universal healthcare plan.</w:t>
      </w:r>
    </w:p>
    <w:p w:rsidR="0043498D" w:rsidRPr="00F85A2F" w:rsidRDefault="00356B50" w:rsidP="00F85A2F">
      <w:pPr>
        <w:ind w:firstLine="720"/>
        <w:contextualSpacing/>
        <w:rPr>
          <w:rFonts w:cs="Times New Roman"/>
        </w:rPr>
      </w:pPr>
      <w:r w:rsidRPr="00F85A2F">
        <w:rPr>
          <w:rFonts w:cs="Times New Roman"/>
        </w:rPr>
        <w:t xml:space="preserve">As a healthcare service, I believe governments and other stakeholders can help bridge the gap between consumers and access to excellent medical services. My interest is to realize a world where patients have easy access to better and exceptional healthcare services. </w:t>
      </w:r>
      <w:r w:rsidR="00653BDA" w:rsidRPr="00F85A2F">
        <w:rPr>
          <w:rFonts w:cs="Times New Roman"/>
        </w:rPr>
        <w:t xml:space="preserve">I have encountered situations where patients have had to endure much suffering for prolonged periods before they could finally be accorded medical services. </w:t>
      </w:r>
      <w:r w:rsidR="00F062B6" w:rsidRPr="00F85A2F">
        <w:rPr>
          <w:rFonts w:cs="Times New Roman"/>
        </w:rPr>
        <w:t xml:space="preserve">Such cases have helped me realize the importance of </w:t>
      </w:r>
      <w:r w:rsidR="005B79AC" w:rsidRPr="00F85A2F">
        <w:rPr>
          <w:rFonts w:cs="Times New Roman"/>
        </w:rPr>
        <w:t xml:space="preserve">ready healthcare provision facilities. </w:t>
      </w:r>
      <w:r w:rsidR="00347B68" w:rsidRPr="00F85A2F">
        <w:rPr>
          <w:rFonts w:cs="Times New Roman"/>
        </w:rPr>
        <w:t xml:space="preserve"> If every individual (from the government, private partners, and other stakeholders) play their part to ensure consumers get easy access to medical care services, everyone will be happy. </w:t>
      </w:r>
    </w:p>
    <w:p w:rsidR="00647864" w:rsidRPr="00F85A2F" w:rsidRDefault="00356B50" w:rsidP="00F85A2F">
      <w:pPr>
        <w:contextualSpacing/>
        <w:jc w:val="center"/>
        <w:rPr>
          <w:rFonts w:cs="Times New Roman"/>
          <w:b/>
        </w:rPr>
      </w:pPr>
      <w:r w:rsidRPr="00F85A2F">
        <w:rPr>
          <w:rFonts w:cs="Times New Roman"/>
          <w:b/>
        </w:rPr>
        <w:t>Identification of Peer-Reviewed Journal Articles</w:t>
      </w:r>
    </w:p>
    <w:p w:rsidR="00647864" w:rsidRPr="00F85A2F" w:rsidRDefault="00356B50" w:rsidP="00F85A2F">
      <w:pPr>
        <w:ind w:firstLine="720"/>
        <w:contextualSpacing/>
        <w:rPr>
          <w:rFonts w:cs="Times New Roman"/>
        </w:rPr>
      </w:pPr>
      <w:r w:rsidRPr="00F85A2F">
        <w:rPr>
          <w:rFonts w:cs="Times New Roman"/>
        </w:rPr>
        <w:t>Various scholars and several journals have published peer-reviewed and scholarly approved research articles on the topic of limited access to healthcare.</w:t>
      </w:r>
      <w:r w:rsidR="00221104" w:rsidRPr="00F85A2F">
        <w:rPr>
          <w:rFonts w:cs="Times New Roman"/>
        </w:rPr>
        <w:t xml:space="preserve"> I accessed academic material on the healthcare topic by using Capella University online library search engine service</w:t>
      </w:r>
      <w:r w:rsidR="00411AA1" w:rsidRPr="00F85A2F">
        <w:rPr>
          <w:rFonts w:cs="Times New Roman"/>
        </w:rPr>
        <w:t xml:space="preserve">s, Summon. </w:t>
      </w:r>
      <w:r w:rsidR="00896276" w:rsidRPr="00F85A2F">
        <w:rPr>
          <w:rFonts w:cs="Times New Roman"/>
        </w:rPr>
        <w:t xml:space="preserve">Through the search engine, </w:t>
      </w:r>
      <w:r w:rsidR="006030FB" w:rsidRPr="00F85A2F">
        <w:rPr>
          <w:rFonts w:cs="Times New Roman"/>
        </w:rPr>
        <w:t xml:space="preserve">I accessed academic databases related to </w:t>
      </w:r>
      <w:r w:rsidR="00A8194E" w:rsidRPr="00F85A2F">
        <w:rPr>
          <w:rFonts w:cs="Times New Roman"/>
        </w:rPr>
        <w:t xml:space="preserve">healthcare services, including PubMed central and ProQuest. Some of the keywords used during </w:t>
      </w:r>
      <w:r w:rsidR="00A8194E" w:rsidRPr="00F85A2F">
        <w:rPr>
          <w:rFonts w:cs="Times New Roman"/>
        </w:rPr>
        <w:lastRenderedPageBreak/>
        <w:t xml:space="preserve">the material search include </w:t>
      </w:r>
      <w:r w:rsidR="00A8194E" w:rsidRPr="00FF6F1B">
        <w:rPr>
          <w:rFonts w:cs="Times New Roman"/>
          <w:i/>
        </w:rPr>
        <w:t>chronic disease</w:t>
      </w:r>
      <w:r w:rsidR="00A8194E" w:rsidRPr="00F85A2F">
        <w:rPr>
          <w:rFonts w:cs="Times New Roman"/>
        </w:rPr>
        <w:t xml:space="preserve">, </w:t>
      </w:r>
      <w:r w:rsidR="00A8194E" w:rsidRPr="00FF6F1B">
        <w:rPr>
          <w:rFonts w:cs="Times New Roman"/>
          <w:i/>
        </w:rPr>
        <w:t>consumer health information</w:t>
      </w:r>
      <w:r w:rsidR="00A8194E" w:rsidRPr="00F85A2F">
        <w:rPr>
          <w:rFonts w:cs="Times New Roman"/>
        </w:rPr>
        <w:t xml:space="preserve">, </w:t>
      </w:r>
      <w:r w:rsidR="00A8194E" w:rsidRPr="00FF6F1B">
        <w:rPr>
          <w:rFonts w:cs="Times New Roman"/>
          <w:i/>
        </w:rPr>
        <w:t>health information research, rural nursing,</w:t>
      </w:r>
      <w:r w:rsidR="00A8194E" w:rsidRPr="00F85A2F">
        <w:rPr>
          <w:rFonts w:cs="Times New Roman"/>
        </w:rPr>
        <w:t xml:space="preserve"> and </w:t>
      </w:r>
      <w:r w:rsidR="00A8194E" w:rsidRPr="00FF6F1B">
        <w:rPr>
          <w:rFonts w:cs="Times New Roman"/>
          <w:i/>
        </w:rPr>
        <w:t>health-seeking behaviour</w:t>
      </w:r>
      <w:r w:rsidR="00A8194E" w:rsidRPr="00F85A2F">
        <w:rPr>
          <w:rFonts w:cs="Times New Roman"/>
        </w:rPr>
        <w:t xml:space="preserve">. </w:t>
      </w:r>
      <w:r w:rsidR="00AA3DAE" w:rsidRPr="00F85A2F">
        <w:rPr>
          <w:rFonts w:cs="Times New Roman"/>
        </w:rPr>
        <w:t xml:space="preserve">I also made sure to limit the articles to scholarly and peer-reviewed journals. The search was also limited to </w:t>
      </w:r>
      <w:r w:rsidR="00AA3DAE" w:rsidRPr="00FF6F1B">
        <w:rPr>
          <w:rFonts w:cs="Times New Roman"/>
          <w:i/>
        </w:rPr>
        <w:t>medicine</w:t>
      </w:r>
      <w:r w:rsidR="00AA3DAE" w:rsidRPr="00F85A2F">
        <w:rPr>
          <w:rFonts w:cs="Times New Roman"/>
        </w:rPr>
        <w:t xml:space="preserve"> and </w:t>
      </w:r>
      <w:r w:rsidR="00AA3DAE" w:rsidRPr="00FF6F1B">
        <w:rPr>
          <w:rFonts w:cs="Times New Roman"/>
          <w:i/>
        </w:rPr>
        <w:t xml:space="preserve">nursing </w:t>
      </w:r>
      <w:r w:rsidR="00AA3DAE" w:rsidRPr="00F85A2F">
        <w:rPr>
          <w:rFonts w:cs="Times New Roman"/>
        </w:rPr>
        <w:t>subjects; again, I only selected articles published within the last five years.</w:t>
      </w:r>
    </w:p>
    <w:p w:rsidR="00B10E08" w:rsidRPr="00F85A2F" w:rsidRDefault="00356B50" w:rsidP="00F85A2F">
      <w:pPr>
        <w:contextualSpacing/>
        <w:jc w:val="center"/>
        <w:rPr>
          <w:rFonts w:cs="Times New Roman"/>
          <w:b/>
        </w:rPr>
      </w:pPr>
      <w:r w:rsidRPr="00F85A2F">
        <w:rPr>
          <w:rFonts w:cs="Times New Roman"/>
          <w:b/>
        </w:rPr>
        <w:t>Credibility and Information Relevance Assessment</w:t>
      </w:r>
    </w:p>
    <w:p w:rsidR="00B10E08" w:rsidRPr="00F85A2F" w:rsidRDefault="00356B50" w:rsidP="00F85A2F">
      <w:pPr>
        <w:ind w:firstLine="720"/>
        <w:contextualSpacing/>
        <w:rPr>
          <w:rFonts w:cs="Times New Roman"/>
        </w:rPr>
      </w:pPr>
      <w:r w:rsidRPr="00F85A2F">
        <w:rPr>
          <w:rFonts w:cs="Times New Roman"/>
        </w:rPr>
        <w:t xml:space="preserve">I settled on articles that were not more than five years and published by renowned authors who had done extensive work in the medical field. </w:t>
      </w:r>
      <w:r w:rsidR="00396EEA" w:rsidRPr="00F85A2F">
        <w:rPr>
          <w:rFonts w:cs="Times New Roman"/>
        </w:rPr>
        <w:t xml:space="preserve">To assess the relevance of information in the articles, I made sure the facts published were acceptable and promoted patient safety, quality care, and other developments in the medical field. </w:t>
      </w:r>
    </w:p>
    <w:p w:rsidR="00447F1F" w:rsidRPr="00F85A2F" w:rsidRDefault="00356B50" w:rsidP="00F85A2F">
      <w:pPr>
        <w:contextualSpacing/>
        <w:jc w:val="center"/>
        <w:rPr>
          <w:rFonts w:cs="Times New Roman"/>
          <w:b/>
        </w:rPr>
      </w:pPr>
      <w:r w:rsidRPr="00F85A2F">
        <w:rPr>
          <w:rFonts w:cs="Times New Roman"/>
          <w:b/>
        </w:rPr>
        <w:t>Annotated Bibliography</w:t>
      </w:r>
    </w:p>
    <w:p w:rsidR="006627AF" w:rsidRPr="00F85A2F" w:rsidRDefault="00356B50" w:rsidP="00F85A2F">
      <w:pPr>
        <w:pStyle w:val="NoSpacing"/>
        <w:spacing w:line="480" w:lineRule="auto"/>
        <w:ind w:left="720" w:hanging="720"/>
        <w:contextualSpacing/>
        <w:jc w:val="both"/>
        <w:rPr>
          <w:rFonts w:cs="Times New Roman"/>
        </w:rPr>
      </w:pPr>
      <w:r w:rsidRPr="00F85A2F">
        <w:rPr>
          <w:rFonts w:cs="Times New Roman"/>
        </w:rPr>
        <w:t xml:space="preserve">Bhandari, N. (2014). Seeking health information online: does limited healthcare access matter? Journal of the American Medical Informatics Association: JAMIA (1067-5027), 21 (6), p. 1113. Retrieved from </w:t>
      </w:r>
      <w:hyperlink r:id="rId6" w:history="1">
        <w:r w:rsidRPr="00F85A2F">
          <w:rPr>
            <w:rStyle w:val="Hyperlink"/>
            <w:rFonts w:eastAsia="Times New Roman" w:cs="Times New Roman"/>
          </w:rPr>
          <w:t>https://www-ncbi-nlm-nih-gov.library.capella.edu/pmc/articles/PMC4215038/</w:t>
        </w:r>
      </w:hyperlink>
    </w:p>
    <w:p w:rsidR="007A2606" w:rsidRPr="00F85A2F" w:rsidRDefault="00356B50" w:rsidP="00F85A2F">
      <w:pPr>
        <w:ind w:left="720"/>
        <w:contextualSpacing/>
        <w:rPr>
          <w:rFonts w:cs="Times New Roman"/>
        </w:rPr>
      </w:pPr>
      <w:r w:rsidRPr="00F85A2F">
        <w:rPr>
          <w:rFonts w:cs="Times New Roman"/>
        </w:rPr>
        <w:t xml:space="preserve">This article </w:t>
      </w:r>
      <w:r w:rsidR="000C1358" w:rsidRPr="00F85A2F">
        <w:rPr>
          <w:rFonts w:cs="Times New Roman"/>
        </w:rPr>
        <w:t>scrutinizes</w:t>
      </w:r>
      <w:r w:rsidRPr="00F85A2F">
        <w:rPr>
          <w:rFonts w:cs="Times New Roman"/>
        </w:rPr>
        <w:t xml:space="preserve"> the relationship of </w:t>
      </w:r>
      <w:r w:rsidR="000C1358" w:rsidRPr="00F85A2F">
        <w:rPr>
          <w:rFonts w:cs="Times New Roman"/>
        </w:rPr>
        <w:t>obstacles</w:t>
      </w:r>
      <w:r w:rsidRPr="00F85A2F">
        <w:rPr>
          <w:rFonts w:cs="Times New Roman"/>
        </w:rPr>
        <w:t xml:space="preserve"> to healthcare access with </w:t>
      </w:r>
      <w:r w:rsidR="00281E76" w:rsidRPr="00F85A2F">
        <w:rPr>
          <w:rFonts w:cs="Times New Roman"/>
        </w:rPr>
        <w:t>consumer’s</w:t>
      </w:r>
      <w:r w:rsidRPr="00F85A2F">
        <w:rPr>
          <w:rFonts w:cs="Times New Roman"/>
        </w:rPr>
        <w:t xml:space="preserve"> online searches on medical-related information, online communication with physicians, and the application of health chat groups.</w:t>
      </w:r>
      <w:r w:rsidR="000C5A8E" w:rsidRPr="00F85A2F">
        <w:rPr>
          <w:rFonts w:cs="Times New Roman"/>
        </w:rPr>
        <w:t xml:space="preserve"> This research was conducted with the use of data from the 2009 </w:t>
      </w:r>
      <w:r w:rsidR="000C1358">
        <w:rPr>
          <w:rFonts w:cs="Times New Roman"/>
        </w:rPr>
        <w:t xml:space="preserve">“National Health Interview” </w:t>
      </w:r>
      <w:r w:rsidR="000C5A8E" w:rsidRPr="00F85A2F">
        <w:rPr>
          <w:rFonts w:cs="Times New Roman"/>
        </w:rPr>
        <w:t>survey.</w:t>
      </w:r>
      <w:r w:rsidRPr="00F85A2F">
        <w:rPr>
          <w:rFonts w:cs="Times New Roman"/>
        </w:rPr>
        <w:t xml:space="preserve"> </w:t>
      </w:r>
      <w:r w:rsidR="006551A9" w:rsidRPr="00F85A2F">
        <w:rPr>
          <w:rFonts w:cs="Times New Roman"/>
        </w:rPr>
        <w:t xml:space="preserve">According to the authors, consumers with financial constraints limiting their access to physician appointments were more likely to use internet resources to </w:t>
      </w:r>
      <w:r w:rsidR="00DF0E95" w:rsidRPr="00F85A2F">
        <w:rPr>
          <w:rFonts w:cs="Times New Roman"/>
        </w:rPr>
        <w:t xml:space="preserve">look for healthcare-related information about their medical conditions. </w:t>
      </w:r>
      <w:r w:rsidR="008626BE" w:rsidRPr="00F85A2F">
        <w:rPr>
          <w:rFonts w:cs="Times New Roman"/>
        </w:rPr>
        <w:t xml:space="preserve">Moreover, individuals who had difficulties seeking appointments with physicians were using health chat groups more. </w:t>
      </w:r>
      <w:r w:rsidR="006A52E6" w:rsidRPr="00F85A2F">
        <w:rPr>
          <w:rFonts w:cs="Times New Roman"/>
        </w:rPr>
        <w:t xml:space="preserve">The study concluded that the use of internet offered a low-cost avenue to accessing healthcare information, especially for </w:t>
      </w:r>
      <w:r w:rsidR="006A52E6" w:rsidRPr="00F85A2F">
        <w:rPr>
          <w:rFonts w:cs="Times New Roman"/>
        </w:rPr>
        <w:lastRenderedPageBreak/>
        <w:t xml:space="preserve">people who were in difficult financial conditions or who were miles away from medical care facilities. </w:t>
      </w:r>
      <w:r w:rsidR="0041168C" w:rsidRPr="00F85A2F">
        <w:rPr>
          <w:rFonts w:cs="Times New Roman"/>
        </w:rPr>
        <w:t>Additionally, those who had the finan</w:t>
      </w:r>
      <w:r w:rsidR="003A6649" w:rsidRPr="00F85A2F">
        <w:rPr>
          <w:rFonts w:cs="Times New Roman"/>
        </w:rPr>
        <w:t xml:space="preserve">cial power but with schedules conflicting with their clinical appointments also resorted to internet use. </w:t>
      </w:r>
      <w:r w:rsidR="00DF5E11" w:rsidRPr="00F85A2F">
        <w:rPr>
          <w:rFonts w:cs="Times New Roman"/>
        </w:rPr>
        <w:t xml:space="preserve">This study is essential since it points out the </w:t>
      </w:r>
      <w:r w:rsidR="00EA2E8A" w:rsidRPr="00F85A2F">
        <w:rPr>
          <w:rFonts w:cs="Times New Roman"/>
        </w:rPr>
        <w:t>methods used by consumers due to limited healthcare services.</w:t>
      </w:r>
    </w:p>
    <w:p w:rsidR="001D6131" w:rsidRPr="00F85A2F" w:rsidRDefault="001D6131" w:rsidP="00F85A2F">
      <w:pPr>
        <w:contextualSpacing/>
        <w:rPr>
          <w:rFonts w:cs="Times New Roman"/>
        </w:rPr>
      </w:pPr>
    </w:p>
    <w:p w:rsidR="001E317D" w:rsidRPr="00F85A2F" w:rsidRDefault="00356B50" w:rsidP="00F85A2F">
      <w:pPr>
        <w:ind w:left="720" w:hanging="720"/>
        <w:contextualSpacing/>
        <w:jc w:val="both"/>
        <w:rPr>
          <w:rFonts w:cs="Times New Roman"/>
        </w:rPr>
      </w:pPr>
      <w:r w:rsidRPr="00F85A2F">
        <w:rPr>
          <w:rFonts w:eastAsia="Times New Roman" w:cs="Times New Roman"/>
          <w:color w:val="000000"/>
        </w:rPr>
        <w:t>Lee, K., Hoti, K., Hughes, J. D., &amp; Emmerton, L. (2014). Dr Google and the Consumer: A Qualitative Study Exploring the Navigational Needs and Online Health Information-Seeking Behaviors of Consumers with Chronic Health Conditions. Journal of Medical Internet Research, 16(12), e262.</w:t>
      </w:r>
      <w:r w:rsidR="00DD5C2B" w:rsidRPr="00F85A2F">
        <w:rPr>
          <w:rFonts w:eastAsia="Times New Roman" w:cs="Times New Roman"/>
          <w:color w:val="000000"/>
        </w:rPr>
        <w:t xml:space="preserve"> Retrieved from </w:t>
      </w:r>
      <w:r w:rsidRPr="00F85A2F">
        <w:rPr>
          <w:rFonts w:eastAsia="Times New Roman" w:cs="Times New Roman"/>
          <w:color w:val="000000"/>
        </w:rPr>
        <w:t xml:space="preserve"> </w:t>
      </w:r>
      <w:hyperlink r:id="rId7" w:history="1">
        <w:r w:rsidRPr="00F85A2F">
          <w:rPr>
            <w:rStyle w:val="Hyperlink"/>
            <w:rFonts w:eastAsia="Times New Roman" w:cs="Times New Roman"/>
          </w:rPr>
          <w:t>http://doi.org.library.capella.edu/10.2196/jmir.3706</w:t>
        </w:r>
      </w:hyperlink>
    </w:p>
    <w:p w:rsidR="00541D5C" w:rsidRPr="00F85A2F" w:rsidRDefault="00356B50" w:rsidP="00F85A2F">
      <w:pPr>
        <w:ind w:left="720"/>
        <w:contextualSpacing/>
        <w:rPr>
          <w:rFonts w:cs="Times New Roman"/>
        </w:rPr>
      </w:pPr>
      <w:r w:rsidRPr="00F85A2F">
        <w:rPr>
          <w:rFonts w:cs="Times New Roman"/>
        </w:rPr>
        <w:t xml:space="preserve">The primary purpose of this article was to assess the directional desires of consumers suffering from various chronic health conditions in seeking healthcare information online. Additionally, the article also determined the potential barriers to online navigation which the consumers were facing. </w:t>
      </w:r>
      <w:r w:rsidR="0077677A" w:rsidRPr="00F85A2F">
        <w:rPr>
          <w:rFonts w:cs="Times New Roman"/>
        </w:rPr>
        <w:t xml:space="preserve">In the study, the authors employed the application of semi-structured </w:t>
      </w:r>
      <w:r w:rsidR="005F4A8E" w:rsidRPr="00F85A2F">
        <w:rPr>
          <w:rFonts w:cs="Times New Roman"/>
        </w:rPr>
        <w:t xml:space="preserve">interviews with adult consumers who had acknowledged the use of online services to seek information on healthcare topics. </w:t>
      </w:r>
      <w:r w:rsidR="00CD65C6" w:rsidRPr="00F85A2F">
        <w:rPr>
          <w:rFonts w:cs="Times New Roman"/>
        </w:rPr>
        <w:t xml:space="preserve">The study concluded that several people had resorted to the use of online tools to seek information on healthcare topics. Furthermore, the authors also identified </w:t>
      </w:r>
      <w:r w:rsidR="005E332C" w:rsidRPr="00F85A2F">
        <w:rPr>
          <w:rFonts w:cs="Times New Roman"/>
        </w:rPr>
        <w:t xml:space="preserve">several barriers to the use of online healthcare services by consumers. </w:t>
      </w:r>
      <w:r w:rsidR="000768F2" w:rsidRPr="00F85A2F">
        <w:rPr>
          <w:rFonts w:cs="Times New Roman"/>
        </w:rPr>
        <w:t xml:space="preserve">Among the obstacles </w:t>
      </w:r>
      <w:r w:rsidR="0098060C" w:rsidRPr="00F85A2F">
        <w:rPr>
          <w:rFonts w:cs="Times New Roman"/>
        </w:rPr>
        <w:t xml:space="preserve">determined by the study included both intrinsic and extrinsic one; extrinsic barriers include </w:t>
      </w:r>
      <w:r w:rsidR="005B719D" w:rsidRPr="00F85A2F">
        <w:rPr>
          <w:rFonts w:cs="Times New Roman"/>
        </w:rPr>
        <w:t>inconsistency</w:t>
      </w:r>
      <w:r w:rsidR="0098060C" w:rsidRPr="00F85A2F">
        <w:rPr>
          <w:rFonts w:cs="Times New Roman"/>
        </w:rPr>
        <w:t xml:space="preserve"> in information among various online platforms, while inherent barriers included </w:t>
      </w:r>
      <w:r w:rsidR="005B719D" w:rsidRPr="00F85A2F">
        <w:rPr>
          <w:rFonts w:cs="Times New Roman"/>
        </w:rPr>
        <w:t>illiteracy in internet health services.</w:t>
      </w:r>
      <w:r w:rsidR="0027569D" w:rsidRPr="00F85A2F">
        <w:rPr>
          <w:rFonts w:cs="Times New Roman"/>
        </w:rPr>
        <w:t xml:space="preserve"> The study concluded that extrinsic interventions aimed at helping consumers </w:t>
      </w:r>
      <w:r w:rsidR="00FA5E4A" w:rsidRPr="00F85A2F">
        <w:rPr>
          <w:rFonts w:cs="Times New Roman"/>
        </w:rPr>
        <w:lastRenderedPageBreak/>
        <w:t xml:space="preserve">navigate the online health services were not as effective as they thought. </w:t>
      </w:r>
      <w:r w:rsidR="006A043F" w:rsidRPr="00F85A2F">
        <w:rPr>
          <w:rFonts w:cs="Times New Roman"/>
        </w:rPr>
        <w:t xml:space="preserve"> This research is vital since it points out the ineffective of online search services for healthcare issues. </w:t>
      </w:r>
    </w:p>
    <w:p w:rsidR="00E82875" w:rsidRPr="00F85A2F" w:rsidRDefault="00E82875" w:rsidP="00F85A2F">
      <w:pPr>
        <w:ind w:left="720"/>
        <w:contextualSpacing/>
        <w:rPr>
          <w:rFonts w:cs="Times New Roman"/>
        </w:rPr>
      </w:pPr>
    </w:p>
    <w:p w:rsidR="00C14218" w:rsidRPr="00F85A2F" w:rsidRDefault="00356B50" w:rsidP="00F85A2F">
      <w:pPr>
        <w:ind w:left="720" w:hanging="720"/>
        <w:contextualSpacing/>
        <w:jc w:val="both"/>
        <w:rPr>
          <w:rFonts w:cs="Times New Roman"/>
        </w:rPr>
      </w:pPr>
      <w:r w:rsidRPr="00F85A2F">
        <w:rPr>
          <w:rFonts w:eastAsia="Times New Roman" w:cs="Times New Roman"/>
          <w:color w:val="000000"/>
        </w:rPr>
        <w:t xml:space="preserve">Pratt, D. (2015). Telehealth and telemedicine. Albany Law Journal of Science &amp; Technology. (1059-4280), 25 (3), p. 495. </w:t>
      </w:r>
      <w:hyperlink r:id="rId8" w:history="1">
        <w:r w:rsidRPr="00F85A2F">
          <w:rPr>
            <w:rStyle w:val="Hyperlink"/>
            <w:rFonts w:eastAsia="Times New Roman" w:cs="Times New Roman"/>
          </w:rPr>
          <w:t>http://www.lexisnexis.com.library.capella.edu/hottopics/lnacademic/?shr=t&amp;csi=148364&amp;sr=TITLE(%22Telehealth+telemedicine+in+2015%22)+and+date+is+2015</w:t>
        </w:r>
      </w:hyperlink>
    </w:p>
    <w:p w:rsidR="00EF3C66" w:rsidRPr="00F85A2F" w:rsidRDefault="00356B50" w:rsidP="00F85A2F">
      <w:pPr>
        <w:ind w:left="720"/>
        <w:contextualSpacing/>
        <w:jc w:val="both"/>
        <w:rPr>
          <w:rFonts w:cs="Times New Roman"/>
        </w:rPr>
      </w:pPr>
      <w:r w:rsidRPr="00F85A2F">
        <w:rPr>
          <w:rFonts w:cs="Times New Roman"/>
        </w:rPr>
        <w:t xml:space="preserve">This article's primary purpose is to discuss the advantages and disadvantages of </w:t>
      </w:r>
      <w:r w:rsidR="00E82875" w:rsidRPr="00F85A2F">
        <w:rPr>
          <w:rFonts w:cs="Times New Roman"/>
        </w:rPr>
        <w:t xml:space="preserve">both </w:t>
      </w:r>
      <w:r w:rsidR="008902B5" w:rsidRPr="00F85A2F">
        <w:rPr>
          <w:rFonts w:cs="Times New Roman"/>
        </w:rPr>
        <w:t xml:space="preserve">telehealth and telemedicine. Telehealth and telemedicine are innovations </w:t>
      </w:r>
      <w:r w:rsidR="00105529" w:rsidRPr="00F85A2F">
        <w:rPr>
          <w:rFonts w:cs="Times New Roman"/>
        </w:rPr>
        <w:t xml:space="preserve">that promote the use of technology in the medical field. </w:t>
      </w:r>
      <w:r w:rsidR="00EE5D24" w:rsidRPr="00F85A2F">
        <w:rPr>
          <w:rFonts w:cs="Times New Roman"/>
        </w:rPr>
        <w:t xml:space="preserve">Technology has proven to be a game-changer in the field of medicine, contributing to efficiency and excellent medical care services. </w:t>
      </w:r>
      <w:r w:rsidR="00751FA7" w:rsidRPr="00F85A2F">
        <w:rPr>
          <w:rFonts w:cs="Times New Roman"/>
        </w:rPr>
        <w:t>Accor</w:t>
      </w:r>
      <w:r w:rsidR="006D076E" w:rsidRPr="00F85A2F">
        <w:rPr>
          <w:rFonts w:cs="Times New Roman"/>
        </w:rPr>
        <w:t>ding to the author</w:t>
      </w:r>
      <w:r w:rsidR="00751FA7" w:rsidRPr="00F85A2F">
        <w:rPr>
          <w:rFonts w:cs="Times New Roman"/>
        </w:rPr>
        <w:t xml:space="preserve">, </w:t>
      </w:r>
      <w:r w:rsidR="005F3F97" w:rsidRPr="00F85A2F">
        <w:rPr>
          <w:rFonts w:cs="Times New Roman"/>
        </w:rPr>
        <w:t xml:space="preserve">telehealth and telemedicine have the advantage of preventing fatal </w:t>
      </w:r>
      <w:r w:rsidR="007A0BFA" w:rsidRPr="00F85A2F">
        <w:rPr>
          <w:rFonts w:cs="Times New Roman"/>
        </w:rPr>
        <w:t xml:space="preserve">and emergency situations among people with chronic health </w:t>
      </w:r>
      <w:r w:rsidR="00337ECB" w:rsidRPr="00F85A2F">
        <w:rPr>
          <w:rFonts w:cs="Times New Roman"/>
        </w:rPr>
        <w:t xml:space="preserve">conditions. </w:t>
      </w:r>
      <w:r w:rsidR="006D076E" w:rsidRPr="00F85A2F">
        <w:rPr>
          <w:rFonts w:cs="Times New Roman"/>
        </w:rPr>
        <w:t xml:space="preserve">On the other hand, the author determines that such technology is difficult to use in some patients, is expensive, and also subject to licensing and different rules and regulations. </w:t>
      </w:r>
      <w:r w:rsidR="00194EBE" w:rsidRPr="00F85A2F">
        <w:rPr>
          <w:rFonts w:cs="Times New Roman"/>
        </w:rPr>
        <w:t>This article is essential because it points out some of the technological developments that help patients get access to medical care; the article points out the strengths and we</w:t>
      </w:r>
      <w:r w:rsidRPr="00F85A2F">
        <w:rPr>
          <w:rFonts w:cs="Times New Roman"/>
        </w:rPr>
        <w:t>aknesses of these developments.</w:t>
      </w:r>
    </w:p>
    <w:p w:rsidR="008E72CA" w:rsidRPr="00F85A2F" w:rsidRDefault="008E72CA" w:rsidP="00F85A2F">
      <w:pPr>
        <w:ind w:left="720"/>
        <w:contextualSpacing/>
        <w:jc w:val="both"/>
        <w:rPr>
          <w:rFonts w:cs="Times New Roman"/>
        </w:rPr>
      </w:pPr>
    </w:p>
    <w:p w:rsidR="008E72CA" w:rsidRPr="00F85A2F" w:rsidRDefault="008E72CA" w:rsidP="00F85A2F">
      <w:pPr>
        <w:ind w:left="720"/>
        <w:contextualSpacing/>
        <w:jc w:val="both"/>
        <w:rPr>
          <w:rFonts w:cs="Times New Roman"/>
        </w:rPr>
      </w:pPr>
    </w:p>
    <w:p w:rsidR="008E72CA" w:rsidRPr="00F85A2F" w:rsidRDefault="008E72CA" w:rsidP="00F85A2F">
      <w:pPr>
        <w:ind w:left="720"/>
        <w:contextualSpacing/>
        <w:jc w:val="both"/>
        <w:rPr>
          <w:rFonts w:cs="Times New Roman"/>
        </w:rPr>
      </w:pPr>
    </w:p>
    <w:p w:rsidR="008E72CA" w:rsidRPr="00F85A2F" w:rsidRDefault="008E72CA" w:rsidP="00F85A2F">
      <w:pPr>
        <w:ind w:left="720"/>
        <w:contextualSpacing/>
        <w:jc w:val="both"/>
        <w:rPr>
          <w:rFonts w:cs="Times New Roman"/>
        </w:rPr>
      </w:pPr>
    </w:p>
    <w:p w:rsidR="008E72CA" w:rsidRPr="00F85A2F" w:rsidRDefault="008E72CA" w:rsidP="00F85A2F">
      <w:pPr>
        <w:ind w:left="720"/>
        <w:contextualSpacing/>
        <w:jc w:val="both"/>
        <w:rPr>
          <w:rFonts w:cs="Times New Roman"/>
        </w:rPr>
      </w:pPr>
    </w:p>
    <w:p w:rsidR="00EF3C66" w:rsidRPr="00F85A2F" w:rsidRDefault="00356B50" w:rsidP="00F85A2F">
      <w:pPr>
        <w:ind w:left="720" w:hanging="720"/>
        <w:contextualSpacing/>
        <w:jc w:val="both"/>
        <w:rPr>
          <w:rFonts w:eastAsia="Times New Roman" w:cs="Times New Roman"/>
          <w:color w:val="000000"/>
        </w:rPr>
      </w:pPr>
      <w:r w:rsidRPr="00F85A2F">
        <w:rPr>
          <w:rFonts w:eastAsia="Times New Roman" w:cs="Times New Roman"/>
          <w:color w:val="000000"/>
        </w:rPr>
        <w:lastRenderedPageBreak/>
        <w:t xml:space="preserve">Ware, P., Bartlett, S. J., Paré, G., Symeonidis, I., Tannenbaum, C., Bartlett, G., … Ahmed, S. (2017). Using eHealth Technologies: Interests, Preferences, and Concerns of Older Adults. Interactive Journal of Medical Research, 6(1), e3. </w:t>
      </w:r>
      <w:hyperlink r:id="rId9" w:history="1">
        <w:r w:rsidRPr="00F85A2F">
          <w:rPr>
            <w:rStyle w:val="Hyperlink"/>
            <w:rFonts w:eastAsia="Times New Roman" w:cs="Times New Roman"/>
          </w:rPr>
          <w:t>http://doi.org.library.capella.edu/10.2196/ijmr.4447</w:t>
        </w:r>
      </w:hyperlink>
    </w:p>
    <w:p w:rsidR="008E72CA" w:rsidRPr="00F85A2F" w:rsidRDefault="008E72CA" w:rsidP="00F85A2F">
      <w:pPr>
        <w:ind w:left="720" w:hanging="720"/>
        <w:contextualSpacing/>
        <w:jc w:val="both"/>
        <w:rPr>
          <w:rFonts w:eastAsia="Times New Roman" w:cs="Times New Roman"/>
          <w:color w:val="000000"/>
        </w:rPr>
      </w:pPr>
    </w:p>
    <w:p w:rsidR="00541D5C" w:rsidRPr="00F85A2F" w:rsidRDefault="00356B50" w:rsidP="00F85A2F">
      <w:pPr>
        <w:ind w:left="720"/>
        <w:contextualSpacing/>
        <w:rPr>
          <w:rFonts w:cs="Times New Roman"/>
        </w:rPr>
      </w:pPr>
      <w:r w:rsidRPr="00F85A2F">
        <w:rPr>
          <w:rFonts w:cs="Times New Roman"/>
        </w:rPr>
        <w:t xml:space="preserve">The primary purpose of this article is to determine the interests, preferences, and concerns of the elderly in </w:t>
      </w:r>
      <w:r w:rsidR="00944EBF" w:rsidRPr="00F85A2F">
        <w:rPr>
          <w:rFonts w:cs="Times New Roman"/>
        </w:rPr>
        <w:t xml:space="preserve">the use of the internet and other eHealth platforms in the management of their health. </w:t>
      </w:r>
      <w:r w:rsidR="00343108" w:rsidRPr="00F85A2F">
        <w:rPr>
          <w:rFonts w:cs="Times New Roman"/>
        </w:rPr>
        <w:t xml:space="preserve">The study entailed the use of two major focus groups of participants aged over fifty years. </w:t>
      </w:r>
      <w:r w:rsidR="00313391" w:rsidRPr="00F85A2F">
        <w:rPr>
          <w:rFonts w:cs="Times New Roman"/>
        </w:rPr>
        <w:t xml:space="preserve">The study concluded that although the online platforms and other eHealth applications were </w:t>
      </w:r>
      <w:r w:rsidR="00090D9A" w:rsidRPr="00F85A2F">
        <w:rPr>
          <w:rFonts w:cs="Times New Roman"/>
        </w:rPr>
        <w:t>proving</w:t>
      </w:r>
      <w:r w:rsidR="00313391" w:rsidRPr="00F85A2F">
        <w:rPr>
          <w:rFonts w:cs="Times New Roman"/>
        </w:rPr>
        <w:t xml:space="preserve"> to be helpful, the consumers, especially the adult ones, had concerns over them. Some of the matters included the ease of usage of the applications and issues associated with patient privacy. </w:t>
      </w:r>
      <w:r w:rsidR="00090D9A" w:rsidRPr="00F85A2F">
        <w:rPr>
          <w:rFonts w:cs="Times New Roman"/>
        </w:rPr>
        <w:t xml:space="preserve">This article is essential since it </w:t>
      </w:r>
      <w:r w:rsidR="005351E6" w:rsidRPr="00F85A2F">
        <w:rPr>
          <w:rFonts w:cs="Times New Roman"/>
        </w:rPr>
        <w:t>highlights</w:t>
      </w:r>
      <w:r w:rsidR="00090D9A" w:rsidRPr="00F85A2F">
        <w:rPr>
          <w:rFonts w:cs="Times New Roman"/>
        </w:rPr>
        <w:t xml:space="preserve"> the concerns and </w:t>
      </w:r>
      <w:r w:rsidR="005351E6" w:rsidRPr="00F85A2F">
        <w:rPr>
          <w:rFonts w:cs="Times New Roman"/>
        </w:rPr>
        <w:t xml:space="preserve">challenges faced by older patients in the use of online platforms and other eHealth applications. </w:t>
      </w:r>
    </w:p>
    <w:p w:rsidR="00BA4CED" w:rsidRPr="00F85A2F" w:rsidRDefault="00356B50" w:rsidP="00F85A2F">
      <w:pPr>
        <w:contextualSpacing/>
        <w:jc w:val="center"/>
        <w:rPr>
          <w:rFonts w:cs="Times New Roman"/>
          <w:b/>
          <w:shd w:val="clear" w:color="auto" w:fill="FFFFFF"/>
        </w:rPr>
      </w:pPr>
      <w:r w:rsidRPr="00F85A2F">
        <w:rPr>
          <w:rFonts w:cs="Times New Roman"/>
          <w:b/>
          <w:shd w:val="clear" w:color="auto" w:fill="FFFFFF"/>
        </w:rPr>
        <w:t>Learni</w:t>
      </w:r>
      <w:r w:rsidR="00F7704E" w:rsidRPr="00F85A2F">
        <w:rPr>
          <w:rFonts w:cs="Times New Roman"/>
          <w:b/>
          <w:shd w:val="clear" w:color="auto" w:fill="FFFFFF"/>
        </w:rPr>
        <w:t>ng Summary Points</w:t>
      </w:r>
    </w:p>
    <w:p w:rsidR="00F7704E" w:rsidRPr="00F85A2F" w:rsidRDefault="00356B50" w:rsidP="00F85A2F">
      <w:pPr>
        <w:ind w:firstLine="720"/>
        <w:contextualSpacing/>
        <w:rPr>
          <w:rFonts w:cs="Times New Roman"/>
          <w:b/>
          <w:shd w:val="clear" w:color="auto" w:fill="FFFFFF"/>
        </w:rPr>
      </w:pPr>
      <w:r w:rsidRPr="00F85A2F">
        <w:rPr>
          <w:rFonts w:cs="Times New Roman"/>
          <w:shd w:val="clear" w:color="auto" w:fill="FFFFFF"/>
        </w:rPr>
        <w:t>From the articles, I got</w:t>
      </w:r>
      <w:r w:rsidR="003C6D0D" w:rsidRPr="00F85A2F">
        <w:rPr>
          <w:rFonts w:cs="Times New Roman"/>
          <w:shd w:val="clear" w:color="auto" w:fill="FFFFFF"/>
        </w:rPr>
        <w:t xml:space="preserve"> exposed to the</w:t>
      </w:r>
      <w:r w:rsidRPr="00F85A2F">
        <w:rPr>
          <w:rFonts w:cs="Times New Roman"/>
          <w:shd w:val="clear" w:color="auto" w:fill="FFFFFF"/>
        </w:rPr>
        <w:t xml:space="preserve"> issues contributing to limited access to healthcare</w:t>
      </w:r>
      <w:r w:rsidR="003C6D0D" w:rsidRPr="00F85A2F">
        <w:rPr>
          <w:rFonts w:cs="Times New Roman"/>
          <w:shd w:val="clear" w:color="auto" w:fill="FFFFFF"/>
        </w:rPr>
        <w:t xml:space="preserve">. </w:t>
      </w:r>
      <w:r w:rsidR="00B55951" w:rsidRPr="00F85A2F">
        <w:rPr>
          <w:rFonts w:cs="Times New Roman"/>
          <w:shd w:val="clear" w:color="auto" w:fill="FFFFFF"/>
        </w:rPr>
        <w:t xml:space="preserve">The papers also helped me realize the </w:t>
      </w:r>
      <w:r w:rsidR="003F3F28" w:rsidRPr="00F85A2F">
        <w:rPr>
          <w:rFonts w:cs="Times New Roman"/>
          <w:shd w:val="clear" w:color="auto" w:fill="FFFFFF"/>
        </w:rPr>
        <w:t xml:space="preserve">widespread use of the internet and other eHealth platforms by consumers to access medical care services. From the articles, I have learned that </w:t>
      </w:r>
      <w:r w:rsidR="00971B23" w:rsidRPr="00F85A2F">
        <w:rPr>
          <w:rFonts w:cs="Times New Roman"/>
          <w:shd w:val="clear" w:color="auto" w:fill="FFFFFF"/>
        </w:rPr>
        <w:t xml:space="preserve">although the internet and other eHealth applications have </w:t>
      </w:r>
      <w:r w:rsidR="00091CC9" w:rsidRPr="00F85A2F">
        <w:rPr>
          <w:rFonts w:cs="Times New Roman"/>
          <w:shd w:val="clear" w:color="auto" w:fill="FFFFFF"/>
        </w:rPr>
        <w:t>revolutionized</w:t>
      </w:r>
      <w:r w:rsidR="00971B23" w:rsidRPr="00F85A2F">
        <w:rPr>
          <w:rFonts w:cs="Times New Roman"/>
          <w:shd w:val="clear" w:color="auto" w:fill="FFFFFF"/>
        </w:rPr>
        <w:t xml:space="preserve"> the medical world, most patients still face challenges in using them; there are also privacy concerns. </w:t>
      </w:r>
    </w:p>
    <w:p w:rsidR="00401FC6" w:rsidRPr="00F85A2F" w:rsidRDefault="00401FC6" w:rsidP="00F85A2F">
      <w:pPr>
        <w:contextualSpacing/>
        <w:rPr>
          <w:rFonts w:cs="Times New Roman"/>
        </w:rPr>
      </w:pPr>
    </w:p>
    <w:p w:rsidR="00875120" w:rsidRPr="00F85A2F" w:rsidRDefault="00875120" w:rsidP="00F85A2F">
      <w:pPr>
        <w:contextualSpacing/>
        <w:rPr>
          <w:rFonts w:cs="Times New Roman"/>
        </w:rPr>
      </w:pPr>
    </w:p>
    <w:p w:rsidR="00351F93" w:rsidRPr="00F85A2F" w:rsidRDefault="00351F93" w:rsidP="00F85A2F">
      <w:pPr>
        <w:contextualSpacing/>
        <w:rPr>
          <w:rFonts w:cs="Times New Roman"/>
        </w:rPr>
      </w:pPr>
    </w:p>
    <w:p w:rsidR="00E875EA" w:rsidRPr="00F85A2F" w:rsidRDefault="00356B50" w:rsidP="00F85A2F">
      <w:pPr>
        <w:contextualSpacing/>
        <w:jc w:val="center"/>
        <w:rPr>
          <w:rFonts w:cs="Times New Roman"/>
        </w:rPr>
      </w:pPr>
      <w:r w:rsidRPr="00F85A2F">
        <w:rPr>
          <w:rFonts w:cs="Times New Roman"/>
        </w:rPr>
        <w:t>References</w:t>
      </w:r>
    </w:p>
    <w:p w:rsidR="00B3430A" w:rsidRPr="00F85A2F" w:rsidRDefault="00356B50" w:rsidP="00F85A2F">
      <w:pPr>
        <w:ind w:left="720" w:hanging="720"/>
        <w:contextualSpacing/>
        <w:jc w:val="both"/>
        <w:rPr>
          <w:rFonts w:cs="Times New Roman"/>
        </w:rPr>
      </w:pPr>
      <w:r w:rsidRPr="00F85A2F">
        <w:rPr>
          <w:rFonts w:eastAsia="Times New Roman" w:cs="Times New Roman"/>
          <w:color w:val="000000"/>
        </w:rPr>
        <w:t xml:space="preserve">Bhandari, N. (2014). Seeking health information online: does limited healthcare access matter? Journal of the American Medical Informatics Association: JAMIA (1067-5027), 21 (6), p. 1113. </w:t>
      </w:r>
      <w:hyperlink r:id="rId10" w:history="1">
        <w:r w:rsidRPr="00F85A2F">
          <w:rPr>
            <w:rStyle w:val="Hyperlink"/>
            <w:rFonts w:eastAsia="Times New Roman" w:cs="Times New Roman"/>
          </w:rPr>
          <w:t>https://www-ncbi-nlm-nih-gov.library.capella.edu/pmc/articles/PMC4215038/</w:t>
        </w:r>
      </w:hyperlink>
    </w:p>
    <w:p w:rsidR="00B3430A" w:rsidRPr="00F85A2F" w:rsidRDefault="00356B50" w:rsidP="00F85A2F">
      <w:pPr>
        <w:ind w:left="720" w:hanging="720"/>
        <w:contextualSpacing/>
        <w:jc w:val="both"/>
        <w:rPr>
          <w:rFonts w:cs="Times New Roman"/>
        </w:rPr>
      </w:pPr>
      <w:r w:rsidRPr="00F85A2F">
        <w:rPr>
          <w:rFonts w:eastAsia="Times New Roman" w:cs="Times New Roman"/>
          <w:color w:val="000000"/>
        </w:rPr>
        <w:t xml:space="preserve">Lee, K., Hoti, K., Hughes, J. D., &amp; Emmerton, L. (2014). Dr Google and the Consumer: A Qualitative Study Exploring the Navigational Needs and Online Health Information-Seeking Behaviors of Consumers with Chronic Health Conditions. Journal of Medical Internet Research, 16(12), e262. </w:t>
      </w:r>
      <w:hyperlink r:id="rId11" w:history="1">
        <w:r w:rsidRPr="00F85A2F">
          <w:rPr>
            <w:rStyle w:val="Hyperlink"/>
            <w:rFonts w:eastAsia="Times New Roman" w:cs="Times New Roman"/>
          </w:rPr>
          <w:t>http://doi.org.library.capella.edu/10.2196/jmir.3706</w:t>
        </w:r>
      </w:hyperlink>
    </w:p>
    <w:p w:rsidR="00F61B4C" w:rsidRPr="00F85A2F" w:rsidRDefault="00356B50" w:rsidP="00F85A2F">
      <w:pPr>
        <w:ind w:left="720" w:hanging="720"/>
        <w:contextualSpacing/>
        <w:jc w:val="both"/>
        <w:rPr>
          <w:rFonts w:cs="Times New Roman"/>
        </w:rPr>
      </w:pPr>
      <w:r w:rsidRPr="00F85A2F">
        <w:rPr>
          <w:rFonts w:eastAsia="Times New Roman" w:cs="Times New Roman"/>
          <w:color w:val="000000"/>
        </w:rPr>
        <w:t xml:space="preserve">Pratt, D. (2015). Telehealth and telemedicine. Albany Law Journal of Science &amp; Technology. (1059-4280), 25 (3), p. 495. </w:t>
      </w:r>
      <w:hyperlink r:id="rId12" w:history="1">
        <w:r w:rsidRPr="00F85A2F">
          <w:rPr>
            <w:rStyle w:val="Hyperlink"/>
            <w:rFonts w:eastAsia="Times New Roman" w:cs="Times New Roman"/>
          </w:rPr>
          <w:t>http://www.lexisnexis.com.library.capella.edu/hottopics/lnacademic/?shr=t&amp;csi=148364&amp;sr=TITLE(%22Telehealth+telemedicine+in+2015%22)+and+date+is+2015</w:t>
        </w:r>
      </w:hyperlink>
    </w:p>
    <w:p w:rsidR="000D166A" w:rsidRPr="00F85A2F" w:rsidRDefault="00356B50" w:rsidP="00F85A2F">
      <w:pPr>
        <w:ind w:left="720" w:hanging="720"/>
        <w:contextualSpacing/>
        <w:jc w:val="both"/>
        <w:rPr>
          <w:rFonts w:eastAsia="Times New Roman" w:cs="Times New Roman"/>
          <w:color w:val="000000"/>
        </w:rPr>
      </w:pPr>
      <w:r w:rsidRPr="00F85A2F">
        <w:rPr>
          <w:rFonts w:eastAsia="Times New Roman" w:cs="Times New Roman"/>
          <w:color w:val="000000"/>
        </w:rPr>
        <w:t xml:space="preserve">Ware, P., Bartlett, S. J., Paré, G., Symeonidis, I., Tannenbaum, C., Bartlett, G., … Ahmed, S. (2017). Using eHealth Technologies: Interests, Preferences, and Concerns of Older Adults. Interactive Journal of Medical Research, 6(1), e3. </w:t>
      </w:r>
      <w:hyperlink r:id="rId13" w:history="1">
        <w:r w:rsidR="005F1A1D" w:rsidRPr="00F85A2F">
          <w:rPr>
            <w:rStyle w:val="Hyperlink"/>
            <w:rFonts w:eastAsia="Times New Roman" w:cs="Times New Roman"/>
          </w:rPr>
          <w:t>http://doi.org.library.capella.edu/10.2196/ijmr.4447</w:t>
        </w:r>
      </w:hyperlink>
    </w:p>
    <w:p w:rsidR="005F1A1D" w:rsidRPr="00F85A2F" w:rsidRDefault="005F1A1D" w:rsidP="00F85A2F">
      <w:pPr>
        <w:ind w:left="720" w:hanging="720"/>
        <w:contextualSpacing/>
        <w:jc w:val="both"/>
        <w:rPr>
          <w:rFonts w:cs="Times New Roman"/>
        </w:rPr>
      </w:pPr>
    </w:p>
    <w:p w:rsidR="0001387D" w:rsidRPr="00F85A2F" w:rsidRDefault="0001387D" w:rsidP="00F85A2F">
      <w:pPr>
        <w:contextualSpacing/>
        <w:rPr>
          <w:rFonts w:cs="Times New Roman"/>
        </w:rPr>
      </w:pPr>
    </w:p>
    <w:p w:rsidR="00855DCA" w:rsidRPr="00F85A2F" w:rsidRDefault="00855DCA" w:rsidP="00F85A2F">
      <w:pPr>
        <w:contextualSpacing/>
        <w:rPr>
          <w:rFonts w:cs="Times New Roman"/>
        </w:rPr>
      </w:pPr>
    </w:p>
    <w:sectPr w:rsidR="00855DCA" w:rsidRPr="00F85A2F">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806BE" w:rsidRDefault="00E806BE">
      <w:pPr>
        <w:spacing w:after="0" w:line="240" w:lineRule="auto"/>
      </w:pPr>
      <w:r>
        <w:separator/>
      </w:r>
    </w:p>
  </w:endnote>
  <w:endnote w:type="continuationSeparator" w:id="0">
    <w:p w:rsidR="00E806BE" w:rsidRDefault="00E80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806BE" w:rsidRDefault="00E806BE">
      <w:pPr>
        <w:spacing w:after="0" w:line="240" w:lineRule="auto"/>
      </w:pPr>
      <w:r>
        <w:separator/>
      </w:r>
    </w:p>
  </w:footnote>
  <w:footnote w:type="continuationSeparator" w:id="0">
    <w:p w:rsidR="00E806BE" w:rsidRDefault="00E80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D72FA" w:rsidRDefault="00356B50">
    <w:pPr>
      <w:pStyle w:val="Header"/>
      <w:jc w:val="right"/>
    </w:pPr>
    <w:r>
      <w:t>RESEARCH SKILLS</w:t>
    </w:r>
    <w:r w:rsidR="00502316">
      <w:tab/>
    </w:r>
    <w:r w:rsidR="00502316">
      <w:tab/>
    </w:r>
    <w:sdt>
      <w:sdtPr>
        <w:id w:val="-735862324"/>
        <w:docPartObj>
          <w:docPartGallery w:val="Page Numbers (Top of Page)"/>
          <w:docPartUnique/>
        </w:docPartObj>
      </w:sdtPr>
      <w:sdtEndPr>
        <w:rPr>
          <w:noProof/>
        </w:rPr>
      </w:sdtEndPr>
      <w:sdtContent>
        <w:r w:rsidR="00502316">
          <w:fldChar w:fldCharType="begin"/>
        </w:r>
        <w:r w:rsidR="00502316">
          <w:instrText xml:space="preserve"> PAGE   \* MERGEFORMAT </w:instrText>
        </w:r>
        <w:r w:rsidR="00502316">
          <w:fldChar w:fldCharType="separate"/>
        </w:r>
        <w:r w:rsidR="000C1358">
          <w:rPr>
            <w:noProof/>
          </w:rPr>
          <w:t>1</w:t>
        </w:r>
        <w:r w:rsidR="00502316">
          <w:rPr>
            <w:noProof/>
          </w:rPr>
          <w:fldChar w:fldCharType="end"/>
        </w:r>
      </w:sdtContent>
    </w:sdt>
  </w:p>
  <w:p w:rsidR="005D72FA" w:rsidRDefault="005D72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62E"/>
    <w:rsid w:val="00000284"/>
    <w:rsid w:val="0001387D"/>
    <w:rsid w:val="00024668"/>
    <w:rsid w:val="000608F9"/>
    <w:rsid w:val="00063507"/>
    <w:rsid w:val="00071097"/>
    <w:rsid w:val="000768F2"/>
    <w:rsid w:val="00090D9A"/>
    <w:rsid w:val="00091CC9"/>
    <w:rsid w:val="00093507"/>
    <w:rsid w:val="000A4981"/>
    <w:rsid w:val="000C0DD8"/>
    <w:rsid w:val="000C1358"/>
    <w:rsid w:val="000C2B28"/>
    <w:rsid w:val="000C5A8E"/>
    <w:rsid w:val="000D166A"/>
    <w:rsid w:val="000D61BF"/>
    <w:rsid w:val="000E7869"/>
    <w:rsid w:val="000F4C03"/>
    <w:rsid w:val="00105529"/>
    <w:rsid w:val="0011285D"/>
    <w:rsid w:val="0011572E"/>
    <w:rsid w:val="00127553"/>
    <w:rsid w:val="001302DF"/>
    <w:rsid w:val="00130BC0"/>
    <w:rsid w:val="00157820"/>
    <w:rsid w:val="00173D72"/>
    <w:rsid w:val="00186E07"/>
    <w:rsid w:val="00194EBE"/>
    <w:rsid w:val="00195E34"/>
    <w:rsid w:val="001A0D5C"/>
    <w:rsid w:val="001A3892"/>
    <w:rsid w:val="001A4F90"/>
    <w:rsid w:val="001A787C"/>
    <w:rsid w:val="001D6131"/>
    <w:rsid w:val="001E317D"/>
    <w:rsid w:val="001F26CF"/>
    <w:rsid w:val="002008A1"/>
    <w:rsid w:val="0021097F"/>
    <w:rsid w:val="002172B0"/>
    <w:rsid w:val="00221104"/>
    <w:rsid w:val="0022204F"/>
    <w:rsid w:val="0024275C"/>
    <w:rsid w:val="00245B73"/>
    <w:rsid w:val="0027569D"/>
    <w:rsid w:val="00281E76"/>
    <w:rsid w:val="0028292B"/>
    <w:rsid w:val="0028641B"/>
    <w:rsid w:val="00292FAB"/>
    <w:rsid w:val="002A2D24"/>
    <w:rsid w:val="002F2F59"/>
    <w:rsid w:val="002F7D8D"/>
    <w:rsid w:val="00313391"/>
    <w:rsid w:val="0033511B"/>
    <w:rsid w:val="00337ECB"/>
    <w:rsid w:val="00343108"/>
    <w:rsid w:val="00347B68"/>
    <w:rsid w:val="00351F93"/>
    <w:rsid w:val="00356B50"/>
    <w:rsid w:val="00364CC8"/>
    <w:rsid w:val="00390096"/>
    <w:rsid w:val="00396EEA"/>
    <w:rsid w:val="003A3508"/>
    <w:rsid w:val="003A6649"/>
    <w:rsid w:val="003B2BA9"/>
    <w:rsid w:val="003B5A90"/>
    <w:rsid w:val="003C6D0D"/>
    <w:rsid w:val="003E4532"/>
    <w:rsid w:val="003F3F28"/>
    <w:rsid w:val="003F7F36"/>
    <w:rsid w:val="00401FC6"/>
    <w:rsid w:val="0041168C"/>
    <w:rsid w:val="00411AA1"/>
    <w:rsid w:val="0043122C"/>
    <w:rsid w:val="0043498D"/>
    <w:rsid w:val="00447F1F"/>
    <w:rsid w:val="00450F39"/>
    <w:rsid w:val="00453D59"/>
    <w:rsid w:val="004577EA"/>
    <w:rsid w:val="00490901"/>
    <w:rsid w:val="00495FA8"/>
    <w:rsid w:val="004B298B"/>
    <w:rsid w:val="004B39EE"/>
    <w:rsid w:val="004B6B62"/>
    <w:rsid w:val="004C7E0D"/>
    <w:rsid w:val="004E075A"/>
    <w:rsid w:val="00502316"/>
    <w:rsid w:val="005223B4"/>
    <w:rsid w:val="005335B8"/>
    <w:rsid w:val="005336AA"/>
    <w:rsid w:val="005351E6"/>
    <w:rsid w:val="00541D5C"/>
    <w:rsid w:val="0054307F"/>
    <w:rsid w:val="00550E60"/>
    <w:rsid w:val="0056010A"/>
    <w:rsid w:val="00563E83"/>
    <w:rsid w:val="005970DE"/>
    <w:rsid w:val="005B719D"/>
    <w:rsid w:val="005B79AC"/>
    <w:rsid w:val="005D2591"/>
    <w:rsid w:val="005D72FA"/>
    <w:rsid w:val="005E332C"/>
    <w:rsid w:val="005E587E"/>
    <w:rsid w:val="005E5FE1"/>
    <w:rsid w:val="005F1A1D"/>
    <w:rsid w:val="005F3F97"/>
    <w:rsid w:val="005F4A8E"/>
    <w:rsid w:val="006030FB"/>
    <w:rsid w:val="0063208D"/>
    <w:rsid w:val="006475EE"/>
    <w:rsid w:val="00647864"/>
    <w:rsid w:val="00651A6A"/>
    <w:rsid w:val="006521AB"/>
    <w:rsid w:val="00653BDA"/>
    <w:rsid w:val="006551A9"/>
    <w:rsid w:val="00655E4C"/>
    <w:rsid w:val="006627AF"/>
    <w:rsid w:val="00691503"/>
    <w:rsid w:val="00691FF1"/>
    <w:rsid w:val="006A043F"/>
    <w:rsid w:val="006A1BB5"/>
    <w:rsid w:val="006A52E6"/>
    <w:rsid w:val="006C15A9"/>
    <w:rsid w:val="006C3114"/>
    <w:rsid w:val="006C4919"/>
    <w:rsid w:val="006D076E"/>
    <w:rsid w:val="007022D5"/>
    <w:rsid w:val="00717826"/>
    <w:rsid w:val="00736038"/>
    <w:rsid w:val="00751FA7"/>
    <w:rsid w:val="00766118"/>
    <w:rsid w:val="0077677A"/>
    <w:rsid w:val="00786B32"/>
    <w:rsid w:val="007872A2"/>
    <w:rsid w:val="00794153"/>
    <w:rsid w:val="00794414"/>
    <w:rsid w:val="00796428"/>
    <w:rsid w:val="007A0BFA"/>
    <w:rsid w:val="007A2606"/>
    <w:rsid w:val="007C5E11"/>
    <w:rsid w:val="007E4EFE"/>
    <w:rsid w:val="00805C01"/>
    <w:rsid w:val="00842C79"/>
    <w:rsid w:val="00855DCA"/>
    <w:rsid w:val="0085700A"/>
    <w:rsid w:val="008626BE"/>
    <w:rsid w:val="00875120"/>
    <w:rsid w:val="00886829"/>
    <w:rsid w:val="008902B5"/>
    <w:rsid w:val="00896276"/>
    <w:rsid w:val="008A2F56"/>
    <w:rsid w:val="008B2AE9"/>
    <w:rsid w:val="008E72CA"/>
    <w:rsid w:val="00904449"/>
    <w:rsid w:val="009075D1"/>
    <w:rsid w:val="00923C5E"/>
    <w:rsid w:val="00926FD5"/>
    <w:rsid w:val="00944EBF"/>
    <w:rsid w:val="00951D43"/>
    <w:rsid w:val="0095532E"/>
    <w:rsid w:val="00965B59"/>
    <w:rsid w:val="00971B23"/>
    <w:rsid w:val="0098060C"/>
    <w:rsid w:val="00982FB0"/>
    <w:rsid w:val="00993B61"/>
    <w:rsid w:val="009967F0"/>
    <w:rsid w:val="009D7214"/>
    <w:rsid w:val="009F1DEF"/>
    <w:rsid w:val="00A146D0"/>
    <w:rsid w:val="00A331B6"/>
    <w:rsid w:val="00A51DD0"/>
    <w:rsid w:val="00A52FAF"/>
    <w:rsid w:val="00A632EC"/>
    <w:rsid w:val="00A6415A"/>
    <w:rsid w:val="00A7434E"/>
    <w:rsid w:val="00A8194E"/>
    <w:rsid w:val="00A8773D"/>
    <w:rsid w:val="00AA3DAE"/>
    <w:rsid w:val="00AA7E98"/>
    <w:rsid w:val="00AC15AA"/>
    <w:rsid w:val="00AF22BA"/>
    <w:rsid w:val="00B039D1"/>
    <w:rsid w:val="00B073D8"/>
    <w:rsid w:val="00B10E08"/>
    <w:rsid w:val="00B3430A"/>
    <w:rsid w:val="00B43B34"/>
    <w:rsid w:val="00B47F6D"/>
    <w:rsid w:val="00B55951"/>
    <w:rsid w:val="00B56353"/>
    <w:rsid w:val="00B70DFB"/>
    <w:rsid w:val="00B86E1E"/>
    <w:rsid w:val="00B91927"/>
    <w:rsid w:val="00BA4CED"/>
    <w:rsid w:val="00BA5C41"/>
    <w:rsid w:val="00BB36D9"/>
    <w:rsid w:val="00BD42FB"/>
    <w:rsid w:val="00BD4A79"/>
    <w:rsid w:val="00BE182C"/>
    <w:rsid w:val="00BF1403"/>
    <w:rsid w:val="00C14218"/>
    <w:rsid w:val="00C16198"/>
    <w:rsid w:val="00C2190E"/>
    <w:rsid w:val="00C21F29"/>
    <w:rsid w:val="00C50B2C"/>
    <w:rsid w:val="00C57E76"/>
    <w:rsid w:val="00C62923"/>
    <w:rsid w:val="00C679BC"/>
    <w:rsid w:val="00C74575"/>
    <w:rsid w:val="00C8341D"/>
    <w:rsid w:val="00C91610"/>
    <w:rsid w:val="00C96B4D"/>
    <w:rsid w:val="00CA62C5"/>
    <w:rsid w:val="00CB6FAF"/>
    <w:rsid w:val="00CD04B2"/>
    <w:rsid w:val="00CD65C6"/>
    <w:rsid w:val="00CD7093"/>
    <w:rsid w:val="00CE61FD"/>
    <w:rsid w:val="00D32266"/>
    <w:rsid w:val="00D37738"/>
    <w:rsid w:val="00D53D4F"/>
    <w:rsid w:val="00D571AE"/>
    <w:rsid w:val="00D71428"/>
    <w:rsid w:val="00D73681"/>
    <w:rsid w:val="00D82756"/>
    <w:rsid w:val="00D9338F"/>
    <w:rsid w:val="00DD5C2B"/>
    <w:rsid w:val="00DE020B"/>
    <w:rsid w:val="00DE51F9"/>
    <w:rsid w:val="00DE6EB4"/>
    <w:rsid w:val="00DE7D9E"/>
    <w:rsid w:val="00DF0E95"/>
    <w:rsid w:val="00DF5E11"/>
    <w:rsid w:val="00DF73CE"/>
    <w:rsid w:val="00E02D1A"/>
    <w:rsid w:val="00E22376"/>
    <w:rsid w:val="00E3560C"/>
    <w:rsid w:val="00E445E8"/>
    <w:rsid w:val="00E65917"/>
    <w:rsid w:val="00E7762E"/>
    <w:rsid w:val="00E806BE"/>
    <w:rsid w:val="00E82875"/>
    <w:rsid w:val="00E875EA"/>
    <w:rsid w:val="00EA2E8A"/>
    <w:rsid w:val="00EC3308"/>
    <w:rsid w:val="00EE4BD7"/>
    <w:rsid w:val="00EE5D24"/>
    <w:rsid w:val="00EF3C66"/>
    <w:rsid w:val="00F062B6"/>
    <w:rsid w:val="00F16F33"/>
    <w:rsid w:val="00F24981"/>
    <w:rsid w:val="00F40340"/>
    <w:rsid w:val="00F40616"/>
    <w:rsid w:val="00F612A9"/>
    <w:rsid w:val="00F61B4C"/>
    <w:rsid w:val="00F624FC"/>
    <w:rsid w:val="00F7704E"/>
    <w:rsid w:val="00F82863"/>
    <w:rsid w:val="00F85A2F"/>
    <w:rsid w:val="00FA5E4A"/>
    <w:rsid w:val="00FD407B"/>
    <w:rsid w:val="00FE260A"/>
    <w:rsid w:val="00FF064A"/>
    <w:rsid w:val="00FF6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115F8-63CA-4AD1-94FB-CB320C2C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kern w:val="24"/>
        <w:sz w:val="24"/>
        <w:szCs w:val="24"/>
        <w:lang w:val="en-US" w:eastAsia="en-US" w:bidi="ar-SA"/>
      </w:rPr>
    </w:rPrDefault>
    <w:pPrDefault>
      <w:pPr>
        <w:spacing w:after="20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5DCA"/>
    <w:pPr>
      <w:spacing w:after="0" w:line="240" w:lineRule="auto"/>
      <w:ind w:firstLine="0"/>
    </w:pPr>
  </w:style>
  <w:style w:type="paragraph" w:styleId="Header">
    <w:name w:val="header"/>
    <w:basedOn w:val="Normal"/>
    <w:link w:val="HeaderChar"/>
    <w:uiPriority w:val="99"/>
    <w:unhideWhenUsed/>
    <w:rsid w:val="005D7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FA"/>
  </w:style>
  <w:style w:type="paragraph" w:styleId="Footer">
    <w:name w:val="footer"/>
    <w:basedOn w:val="Normal"/>
    <w:link w:val="FooterChar"/>
    <w:uiPriority w:val="99"/>
    <w:unhideWhenUsed/>
    <w:rsid w:val="005D7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FA"/>
  </w:style>
  <w:style w:type="character" w:styleId="Hyperlink">
    <w:name w:val="Hyperlink"/>
    <w:basedOn w:val="DefaultParagraphFont"/>
    <w:uiPriority w:val="99"/>
    <w:unhideWhenUsed/>
    <w:rsid w:val="00B3430A"/>
    <w:rPr>
      <w:color w:val="0563C1" w:themeColor="hyperlink"/>
      <w:u w:val="single"/>
    </w:rPr>
  </w:style>
  <w:style w:type="character" w:styleId="FollowedHyperlink">
    <w:name w:val="FollowedHyperlink"/>
    <w:basedOn w:val="DefaultParagraphFont"/>
    <w:uiPriority w:val="99"/>
    <w:semiHidden/>
    <w:unhideWhenUsed/>
    <w:rsid w:val="006627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isnexis.com.library.capella.edu/hottopics/lnacademic/?shr=t&amp;csi=148364&amp;sr=TITLE(%22Telehealth+telemedicine+in+2015%22)+and+date+is+2015" TargetMode="External"/><Relationship Id="rId13" Type="http://schemas.openxmlformats.org/officeDocument/2006/relationships/hyperlink" Target="http://doi.org.library.capella.edu/10.2196/ijmr.4447" TargetMode="External"/><Relationship Id="rId3" Type="http://schemas.openxmlformats.org/officeDocument/2006/relationships/webSettings" Target="webSettings.xml"/><Relationship Id="rId7" Type="http://schemas.openxmlformats.org/officeDocument/2006/relationships/hyperlink" Target="http://doi.org.library.capella.edu/10.2196/jmir.3706" TargetMode="External"/><Relationship Id="rId12" Type="http://schemas.openxmlformats.org/officeDocument/2006/relationships/hyperlink" Target="http://www.lexisnexis.com.library.capella.edu/hottopics/lnacademic/?shr=t&amp;csi=148364&amp;sr=TITLE(%22Telehealth+telemedicine+in+2015%22)+and+date+is+2015"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ncbi-nlm-nih-gov.library.capella.edu/pmc/articles/PMC4215038/" TargetMode="External"/><Relationship Id="rId11" Type="http://schemas.openxmlformats.org/officeDocument/2006/relationships/hyperlink" Target="http://doi.org.library.capella.edu/10.2196/jmir.3706"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ncbi-nlm-nih-gov.library.capella.edu/pmc/articles/PMC4215038/" TargetMode="External"/><Relationship Id="rId4" Type="http://schemas.openxmlformats.org/officeDocument/2006/relationships/footnotes" Target="footnotes.xml"/><Relationship Id="rId9" Type="http://schemas.openxmlformats.org/officeDocument/2006/relationships/hyperlink" Target="http://doi.org.library.capella.edu/10.2196/ijmr.444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CANISIUS</dc:creator>
  <cp:lastModifiedBy>ileydis onega</cp:lastModifiedBy>
  <cp:revision>2</cp:revision>
  <dcterms:created xsi:type="dcterms:W3CDTF">2020-10-01T00:53:00Z</dcterms:created>
  <dcterms:modified xsi:type="dcterms:W3CDTF">2020-10-01T00:53:00Z</dcterms:modified>
</cp:coreProperties>
</file>