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5EF4BF" w14:textId="77777777" w:rsidR="00FF7647" w:rsidRPr="00FF7647" w:rsidRDefault="00FF7647" w:rsidP="00FF7647">
      <w:pPr>
        <w:shd w:val="clear" w:color="auto" w:fill="FFFFFF"/>
        <w:spacing w:after="0" w:line="240" w:lineRule="auto"/>
        <w:outlineLvl w:val="0"/>
        <w:rPr>
          <w:rFonts w:ascii="Times New Roman" w:eastAsia="Times New Roman" w:hAnsi="Times New Roman" w:cs="Times New Roman"/>
          <w:kern w:val="36"/>
          <w:sz w:val="48"/>
          <w:szCs w:val="48"/>
        </w:rPr>
      </w:pPr>
      <w:proofErr w:type="spellStart"/>
      <w:r w:rsidRPr="00FF7647">
        <w:rPr>
          <w:rFonts w:ascii="Times New Roman" w:eastAsia="Times New Roman" w:hAnsi="Times New Roman" w:cs="Times New Roman"/>
          <w:kern w:val="36"/>
          <w:sz w:val="48"/>
          <w:szCs w:val="48"/>
        </w:rPr>
        <w:t>Wk</w:t>
      </w:r>
      <w:proofErr w:type="spellEnd"/>
      <w:r w:rsidRPr="00FF7647">
        <w:rPr>
          <w:rFonts w:ascii="Times New Roman" w:eastAsia="Times New Roman" w:hAnsi="Times New Roman" w:cs="Times New Roman"/>
          <w:kern w:val="36"/>
          <w:sz w:val="48"/>
          <w:szCs w:val="48"/>
        </w:rPr>
        <w:t xml:space="preserve"> 4 - Apply: Signature Assignment: Government Intervention Analysis [due Mon]</w:t>
      </w:r>
    </w:p>
    <w:p w14:paraId="68E00373" w14:textId="77777777" w:rsidR="00FF7647" w:rsidRPr="00FF7647" w:rsidRDefault="00FF7647" w:rsidP="00FF7647">
      <w:pPr>
        <w:pBdr>
          <w:bottom w:val="single" w:sz="6" w:space="1" w:color="auto"/>
        </w:pBdr>
        <w:spacing w:after="0" w:line="240" w:lineRule="auto"/>
        <w:jc w:val="center"/>
        <w:rPr>
          <w:rFonts w:ascii="Arial" w:eastAsia="Times New Roman" w:hAnsi="Arial" w:cs="Arial"/>
          <w:vanish/>
          <w:sz w:val="16"/>
          <w:szCs w:val="16"/>
        </w:rPr>
      </w:pPr>
      <w:r w:rsidRPr="00FF7647">
        <w:rPr>
          <w:rFonts w:ascii="Arial" w:eastAsia="Times New Roman" w:hAnsi="Arial" w:cs="Arial"/>
          <w:vanish/>
          <w:sz w:val="16"/>
          <w:szCs w:val="16"/>
        </w:rPr>
        <w:t>Top of Form</w:t>
      </w:r>
    </w:p>
    <w:p w14:paraId="74F1383A" w14:textId="77777777" w:rsidR="00FF7647" w:rsidRPr="00FF7647" w:rsidRDefault="00FF7647" w:rsidP="00FF7647">
      <w:pPr>
        <w:pBdr>
          <w:top w:val="single" w:sz="6" w:space="1" w:color="auto"/>
        </w:pBdr>
        <w:spacing w:after="0" w:line="240" w:lineRule="auto"/>
        <w:jc w:val="center"/>
        <w:rPr>
          <w:rFonts w:ascii="Arial" w:eastAsia="Times New Roman" w:hAnsi="Arial" w:cs="Arial"/>
          <w:vanish/>
          <w:sz w:val="16"/>
          <w:szCs w:val="16"/>
        </w:rPr>
      </w:pPr>
      <w:r w:rsidRPr="00FF7647">
        <w:rPr>
          <w:rFonts w:ascii="Arial" w:eastAsia="Times New Roman" w:hAnsi="Arial" w:cs="Arial"/>
          <w:vanish/>
          <w:sz w:val="16"/>
          <w:szCs w:val="16"/>
        </w:rPr>
        <w:t>Bottom of Form</w:t>
      </w:r>
    </w:p>
    <w:p w14:paraId="65070706" w14:textId="77777777" w:rsidR="00FF7647" w:rsidRPr="00FF7647" w:rsidRDefault="00FF7647" w:rsidP="00FF7647">
      <w:pPr>
        <w:shd w:val="clear" w:color="auto" w:fill="FFFFFF"/>
        <w:spacing w:before="100" w:beforeAutospacing="1" w:after="100" w:afterAutospacing="1" w:line="240" w:lineRule="auto"/>
        <w:outlineLvl w:val="1"/>
        <w:rPr>
          <w:rFonts w:ascii="Arial" w:eastAsia="Times New Roman" w:hAnsi="Arial" w:cs="Arial"/>
          <w:color w:val="262626"/>
          <w:sz w:val="36"/>
          <w:szCs w:val="36"/>
        </w:rPr>
      </w:pPr>
      <w:r w:rsidRPr="00FF7647">
        <w:rPr>
          <w:rFonts w:ascii="Arial" w:eastAsia="Times New Roman" w:hAnsi="Arial" w:cs="Arial"/>
          <w:color w:val="262626"/>
          <w:sz w:val="36"/>
          <w:szCs w:val="36"/>
        </w:rPr>
        <w:t>Assignment Content</w:t>
      </w:r>
    </w:p>
    <w:p w14:paraId="08011DFC" w14:textId="77777777" w:rsidR="00FF7647" w:rsidRPr="00FF7647" w:rsidRDefault="00FF7647" w:rsidP="00FF7647">
      <w:pPr>
        <w:spacing w:after="0" w:line="240" w:lineRule="auto"/>
        <w:rPr>
          <w:rFonts w:ascii="inherit" w:eastAsia="Times New Roman" w:hAnsi="inherit" w:cs="Arial"/>
          <w:color w:val="262626"/>
          <w:sz w:val="21"/>
          <w:szCs w:val="21"/>
        </w:rPr>
      </w:pPr>
      <w:r w:rsidRPr="00FF7647">
        <w:rPr>
          <w:rFonts w:ascii="inherit" w:eastAsia="Times New Roman" w:hAnsi="inherit" w:cs="Arial"/>
          <w:b/>
          <w:bCs/>
          <w:color w:val="262626"/>
          <w:sz w:val="21"/>
          <w:szCs w:val="21"/>
        </w:rPr>
        <w:t> </w:t>
      </w:r>
    </w:p>
    <w:p w14:paraId="2DE7F2FD" w14:textId="77777777" w:rsidR="00FF7647" w:rsidRPr="00FF7647" w:rsidRDefault="00FF7647" w:rsidP="00FF7647">
      <w:pPr>
        <w:spacing w:after="0" w:line="240" w:lineRule="auto"/>
        <w:rPr>
          <w:rFonts w:ascii="inherit" w:eastAsia="Times New Roman" w:hAnsi="inherit" w:cs="Arial"/>
          <w:color w:val="262626"/>
          <w:sz w:val="21"/>
          <w:szCs w:val="21"/>
        </w:rPr>
      </w:pPr>
      <w:r w:rsidRPr="00FF7647">
        <w:rPr>
          <w:rFonts w:ascii="inherit" w:eastAsia="Times New Roman" w:hAnsi="inherit" w:cs="Arial"/>
          <w:b/>
          <w:bCs/>
          <w:color w:val="262626"/>
          <w:sz w:val="21"/>
          <w:szCs w:val="21"/>
        </w:rPr>
        <w:t xml:space="preserve">Analyze </w:t>
      </w:r>
      <w:r w:rsidRPr="00FF7647">
        <w:rPr>
          <w:rFonts w:ascii="inherit" w:eastAsia="Times New Roman" w:hAnsi="inherit" w:cs="Arial"/>
          <w:color w:val="262626"/>
          <w:sz w:val="21"/>
          <w:szCs w:val="21"/>
        </w:rPr>
        <w:t>1 of the following government intervention programs:</w:t>
      </w:r>
    </w:p>
    <w:p w14:paraId="36618E5B" w14:textId="77777777" w:rsidR="00FF7647" w:rsidRPr="00FF7647" w:rsidRDefault="00FF7647" w:rsidP="00FF7647">
      <w:pPr>
        <w:numPr>
          <w:ilvl w:val="1"/>
          <w:numId w:val="1"/>
        </w:numPr>
        <w:spacing w:after="0" w:line="240" w:lineRule="auto"/>
        <w:ind w:left="0"/>
        <w:rPr>
          <w:rFonts w:ascii="inherit" w:eastAsia="Times New Roman" w:hAnsi="inherit" w:cs="Arial"/>
          <w:color w:val="262626"/>
          <w:sz w:val="21"/>
          <w:szCs w:val="21"/>
        </w:rPr>
      </w:pPr>
      <w:r w:rsidRPr="00FF7647">
        <w:rPr>
          <w:rFonts w:ascii="inherit" w:eastAsia="Times New Roman" w:hAnsi="inherit" w:cs="Arial"/>
          <w:color w:val="262626"/>
          <w:sz w:val="21"/>
          <w:szCs w:val="21"/>
        </w:rPr>
        <w:t>Countercyclical fiscal policies (countering economic disruptions such as the housing bubble and the Great Recession)</w:t>
      </w:r>
    </w:p>
    <w:p w14:paraId="579F069C" w14:textId="77777777" w:rsidR="00FF7647" w:rsidRPr="00FF7647" w:rsidRDefault="00FF7647" w:rsidP="00FF7647">
      <w:pPr>
        <w:numPr>
          <w:ilvl w:val="1"/>
          <w:numId w:val="1"/>
        </w:numPr>
        <w:spacing w:after="0" w:line="240" w:lineRule="auto"/>
        <w:ind w:left="0"/>
        <w:rPr>
          <w:rFonts w:ascii="inherit" w:eastAsia="Times New Roman" w:hAnsi="inherit" w:cs="Arial"/>
          <w:color w:val="262626"/>
          <w:sz w:val="21"/>
          <w:szCs w:val="21"/>
        </w:rPr>
      </w:pPr>
      <w:r w:rsidRPr="00FF7647">
        <w:rPr>
          <w:rFonts w:ascii="inherit" w:eastAsia="Times New Roman" w:hAnsi="inherit" w:cs="Arial"/>
          <w:color w:val="262626"/>
          <w:sz w:val="21"/>
          <w:szCs w:val="21"/>
        </w:rPr>
        <w:t>US agriculture support programs</w:t>
      </w:r>
    </w:p>
    <w:p w14:paraId="0ACD6871" w14:textId="77777777" w:rsidR="00FF7647" w:rsidRPr="00FF7647" w:rsidRDefault="00FF7647" w:rsidP="00FF7647">
      <w:pPr>
        <w:numPr>
          <w:ilvl w:val="1"/>
          <w:numId w:val="1"/>
        </w:numPr>
        <w:spacing w:after="0" w:line="240" w:lineRule="auto"/>
        <w:ind w:left="0"/>
        <w:rPr>
          <w:rFonts w:ascii="inherit" w:eastAsia="Times New Roman" w:hAnsi="inherit" w:cs="Arial"/>
          <w:color w:val="262626"/>
          <w:sz w:val="21"/>
          <w:szCs w:val="21"/>
          <w:highlight w:val="yellow"/>
        </w:rPr>
      </w:pPr>
      <w:r w:rsidRPr="00FF7647">
        <w:rPr>
          <w:rFonts w:ascii="inherit" w:eastAsia="Times New Roman" w:hAnsi="inherit" w:cs="Arial"/>
          <w:color w:val="262626"/>
          <w:sz w:val="21"/>
          <w:szCs w:val="21"/>
          <w:highlight w:val="yellow"/>
        </w:rPr>
        <w:t>Assistance for Low Income Families (choose 1)</w:t>
      </w:r>
    </w:p>
    <w:p w14:paraId="052C5B65" w14:textId="77777777" w:rsidR="00FF7647" w:rsidRPr="00FF7647" w:rsidRDefault="00FF7647" w:rsidP="00B82B7B">
      <w:pPr>
        <w:numPr>
          <w:ilvl w:val="2"/>
          <w:numId w:val="1"/>
        </w:numPr>
        <w:spacing w:after="0" w:line="240" w:lineRule="auto"/>
        <w:rPr>
          <w:rFonts w:ascii="inherit" w:eastAsia="Times New Roman" w:hAnsi="inherit" w:cs="Arial"/>
          <w:color w:val="262626"/>
          <w:sz w:val="21"/>
          <w:szCs w:val="21"/>
        </w:rPr>
      </w:pPr>
      <w:r w:rsidRPr="00FF7647">
        <w:rPr>
          <w:rFonts w:ascii="inherit" w:eastAsia="Times New Roman" w:hAnsi="inherit" w:cs="Arial"/>
          <w:color w:val="262626"/>
          <w:sz w:val="21"/>
          <w:szCs w:val="21"/>
        </w:rPr>
        <w:t>Housing vouchers</w:t>
      </w:r>
    </w:p>
    <w:p w14:paraId="11BAE8D7" w14:textId="77777777" w:rsidR="00FF7647" w:rsidRPr="00FF7647" w:rsidRDefault="00FF7647" w:rsidP="00B82B7B">
      <w:pPr>
        <w:numPr>
          <w:ilvl w:val="2"/>
          <w:numId w:val="1"/>
        </w:numPr>
        <w:spacing w:after="0" w:line="240" w:lineRule="auto"/>
        <w:rPr>
          <w:rFonts w:ascii="inherit" w:eastAsia="Times New Roman" w:hAnsi="inherit" w:cs="Arial"/>
          <w:color w:val="262626"/>
          <w:sz w:val="21"/>
          <w:szCs w:val="21"/>
        </w:rPr>
      </w:pPr>
      <w:r w:rsidRPr="00FF7647">
        <w:rPr>
          <w:rFonts w:ascii="inherit" w:eastAsia="Times New Roman" w:hAnsi="inherit" w:cs="Arial"/>
          <w:color w:val="262626"/>
          <w:sz w:val="21"/>
          <w:szCs w:val="21"/>
        </w:rPr>
        <w:t>Earned Income Tax Credit (including Child Tax Credit)</w:t>
      </w:r>
    </w:p>
    <w:p w14:paraId="4A834DF5" w14:textId="77777777" w:rsidR="00FF7647" w:rsidRPr="00FF7647" w:rsidRDefault="00FF7647" w:rsidP="00B82B7B">
      <w:pPr>
        <w:numPr>
          <w:ilvl w:val="2"/>
          <w:numId w:val="1"/>
        </w:numPr>
        <w:spacing w:after="0" w:line="240" w:lineRule="auto"/>
        <w:rPr>
          <w:rFonts w:ascii="inherit" w:eastAsia="Times New Roman" w:hAnsi="inherit" w:cs="Arial"/>
          <w:color w:val="262626"/>
          <w:sz w:val="21"/>
          <w:szCs w:val="21"/>
          <w:highlight w:val="yellow"/>
        </w:rPr>
      </w:pPr>
      <w:r w:rsidRPr="00FF7647">
        <w:rPr>
          <w:rFonts w:ascii="inherit" w:eastAsia="Times New Roman" w:hAnsi="inherit" w:cs="Arial"/>
          <w:color w:val="262626"/>
          <w:sz w:val="21"/>
          <w:szCs w:val="21"/>
          <w:highlight w:val="yellow"/>
        </w:rPr>
        <w:t>Supplemental Nutrition Assistance Program (SNAP)</w:t>
      </w:r>
    </w:p>
    <w:p w14:paraId="2A527F48" w14:textId="77777777" w:rsidR="00FF7647" w:rsidRPr="00FF7647" w:rsidRDefault="00FF7647" w:rsidP="00FF7647">
      <w:pPr>
        <w:numPr>
          <w:ilvl w:val="1"/>
          <w:numId w:val="1"/>
        </w:numPr>
        <w:spacing w:after="0" w:line="240" w:lineRule="auto"/>
        <w:ind w:left="0"/>
        <w:rPr>
          <w:rFonts w:ascii="inherit" w:eastAsia="Times New Roman" w:hAnsi="inherit" w:cs="Arial"/>
          <w:color w:val="262626"/>
          <w:sz w:val="21"/>
          <w:szCs w:val="21"/>
        </w:rPr>
      </w:pPr>
      <w:r w:rsidRPr="00FF7647">
        <w:rPr>
          <w:rFonts w:ascii="inherit" w:eastAsia="Times New Roman" w:hAnsi="inherit" w:cs="Arial"/>
          <w:color w:val="262626"/>
          <w:sz w:val="21"/>
          <w:szCs w:val="21"/>
        </w:rPr>
        <w:t>Low income healthcare (choose 1)</w:t>
      </w:r>
    </w:p>
    <w:p w14:paraId="39E9A760" w14:textId="77777777" w:rsidR="00FF7647" w:rsidRPr="00FF7647" w:rsidRDefault="00FF7647" w:rsidP="00B82B7B">
      <w:pPr>
        <w:numPr>
          <w:ilvl w:val="2"/>
          <w:numId w:val="1"/>
        </w:numPr>
        <w:spacing w:after="0" w:line="240" w:lineRule="auto"/>
        <w:rPr>
          <w:rFonts w:ascii="inherit" w:eastAsia="Times New Roman" w:hAnsi="inherit" w:cs="Arial"/>
          <w:color w:val="262626"/>
          <w:sz w:val="21"/>
          <w:szCs w:val="21"/>
        </w:rPr>
      </w:pPr>
      <w:r w:rsidRPr="00FF7647">
        <w:rPr>
          <w:rFonts w:ascii="inherit" w:eastAsia="Times New Roman" w:hAnsi="inherit" w:cs="Arial"/>
          <w:color w:val="262626"/>
          <w:sz w:val="21"/>
          <w:szCs w:val="21"/>
        </w:rPr>
        <w:t>Medicaid (including Children's Health Insurance Program).</w:t>
      </w:r>
    </w:p>
    <w:p w14:paraId="53C6ECE2" w14:textId="77777777" w:rsidR="00FF7647" w:rsidRPr="00FF7647" w:rsidRDefault="00FF7647" w:rsidP="00B82B7B">
      <w:pPr>
        <w:numPr>
          <w:ilvl w:val="2"/>
          <w:numId w:val="1"/>
        </w:numPr>
        <w:spacing w:after="0" w:line="240" w:lineRule="auto"/>
        <w:rPr>
          <w:rFonts w:ascii="inherit" w:eastAsia="Times New Roman" w:hAnsi="inherit" w:cs="Arial"/>
          <w:color w:val="262626"/>
          <w:sz w:val="21"/>
          <w:szCs w:val="21"/>
        </w:rPr>
      </w:pPr>
      <w:r w:rsidRPr="00FF7647">
        <w:rPr>
          <w:rFonts w:ascii="inherit" w:eastAsia="Times New Roman" w:hAnsi="inherit" w:cs="Arial"/>
          <w:color w:val="262626"/>
          <w:sz w:val="21"/>
          <w:szCs w:val="21"/>
        </w:rPr>
        <w:t>Affordable Care Act expansion</w:t>
      </w:r>
    </w:p>
    <w:p w14:paraId="117A803B" w14:textId="77777777" w:rsidR="00FF7647" w:rsidRPr="00FF7647" w:rsidRDefault="00FF7647" w:rsidP="00FF7647">
      <w:pPr>
        <w:numPr>
          <w:ilvl w:val="1"/>
          <w:numId w:val="1"/>
        </w:numPr>
        <w:spacing w:after="0" w:line="240" w:lineRule="auto"/>
        <w:ind w:left="0"/>
        <w:rPr>
          <w:rFonts w:ascii="inherit" w:eastAsia="Times New Roman" w:hAnsi="inherit" w:cs="Arial"/>
          <w:color w:val="262626"/>
          <w:sz w:val="21"/>
          <w:szCs w:val="21"/>
        </w:rPr>
      </w:pPr>
      <w:r w:rsidRPr="00FF7647">
        <w:rPr>
          <w:rFonts w:ascii="inherit" w:eastAsia="Times New Roman" w:hAnsi="inherit" w:cs="Arial"/>
          <w:color w:val="262626"/>
          <w:sz w:val="21"/>
          <w:szCs w:val="21"/>
        </w:rPr>
        <w:t>Social insurance programs (choose 1)</w:t>
      </w:r>
    </w:p>
    <w:p w14:paraId="23962104" w14:textId="77777777" w:rsidR="00FF7647" w:rsidRPr="00FF7647" w:rsidRDefault="00FF7647" w:rsidP="00B82B7B">
      <w:pPr>
        <w:numPr>
          <w:ilvl w:val="2"/>
          <w:numId w:val="1"/>
        </w:numPr>
        <w:spacing w:after="0" w:line="240" w:lineRule="auto"/>
        <w:rPr>
          <w:rFonts w:ascii="inherit" w:eastAsia="Times New Roman" w:hAnsi="inherit" w:cs="Arial"/>
          <w:color w:val="262626"/>
          <w:sz w:val="21"/>
          <w:szCs w:val="21"/>
        </w:rPr>
      </w:pPr>
      <w:r w:rsidRPr="00FF7647">
        <w:rPr>
          <w:rFonts w:ascii="inherit" w:eastAsia="Times New Roman" w:hAnsi="inherit" w:cs="Arial"/>
          <w:color w:val="262626"/>
          <w:sz w:val="21"/>
          <w:szCs w:val="21"/>
        </w:rPr>
        <w:t>Old Age, Survivors, and Disability Insurance (OASDI)</w:t>
      </w:r>
    </w:p>
    <w:p w14:paraId="517D582A" w14:textId="77777777" w:rsidR="00FF7647" w:rsidRPr="00FF7647" w:rsidRDefault="00FF7647" w:rsidP="00B82B7B">
      <w:pPr>
        <w:numPr>
          <w:ilvl w:val="2"/>
          <w:numId w:val="1"/>
        </w:numPr>
        <w:spacing w:after="0" w:line="240" w:lineRule="auto"/>
        <w:rPr>
          <w:rFonts w:ascii="inherit" w:eastAsia="Times New Roman" w:hAnsi="inherit" w:cs="Arial"/>
          <w:color w:val="262626"/>
          <w:sz w:val="21"/>
          <w:szCs w:val="21"/>
        </w:rPr>
      </w:pPr>
      <w:r w:rsidRPr="00FF7647">
        <w:rPr>
          <w:rFonts w:ascii="inherit" w:eastAsia="Times New Roman" w:hAnsi="inherit" w:cs="Arial"/>
          <w:color w:val="262626"/>
          <w:sz w:val="21"/>
          <w:szCs w:val="21"/>
        </w:rPr>
        <w:t>Medicare</w:t>
      </w:r>
    </w:p>
    <w:p w14:paraId="50AC288F" w14:textId="77777777" w:rsidR="00FF7647" w:rsidRPr="00FF7647" w:rsidRDefault="00FF7647" w:rsidP="00B82B7B">
      <w:pPr>
        <w:numPr>
          <w:ilvl w:val="2"/>
          <w:numId w:val="1"/>
        </w:numPr>
        <w:spacing w:after="0" w:line="240" w:lineRule="auto"/>
        <w:rPr>
          <w:rFonts w:ascii="inherit" w:eastAsia="Times New Roman" w:hAnsi="inherit" w:cs="Arial"/>
          <w:color w:val="262626"/>
          <w:sz w:val="21"/>
          <w:szCs w:val="21"/>
        </w:rPr>
      </w:pPr>
      <w:r w:rsidRPr="00FF7647">
        <w:rPr>
          <w:rFonts w:ascii="inherit" w:eastAsia="Times New Roman" w:hAnsi="inherit" w:cs="Arial"/>
          <w:color w:val="262626"/>
          <w:sz w:val="21"/>
          <w:szCs w:val="21"/>
        </w:rPr>
        <w:t>Unemployment insurance</w:t>
      </w:r>
    </w:p>
    <w:p w14:paraId="779CE5F7" w14:textId="77777777" w:rsidR="00FF7647" w:rsidRPr="00FF7647" w:rsidRDefault="00FF7647" w:rsidP="00FF7647">
      <w:pPr>
        <w:spacing w:after="0" w:line="240" w:lineRule="auto"/>
        <w:rPr>
          <w:rFonts w:ascii="inherit" w:eastAsia="Times New Roman" w:hAnsi="inherit" w:cs="Arial"/>
          <w:color w:val="262626"/>
          <w:sz w:val="21"/>
          <w:szCs w:val="21"/>
        </w:rPr>
      </w:pPr>
    </w:p>
    <w:p w14:paraId="592F23C6" w14:textId="45C938DD" w:rsidR="00FF7647" w:rsidRDefault="00FF7647" w:rsidP="00FF7647">
      <w:pPr>
        <w:spacing w:after="0" w:line="240" w:lineRule="auto"/>
        <w:rPr>
          <w:rFonts w:ascii="inherit" w:eastAsia="Times New Roman" w:hAnsi="inherit" w:cs="Arial"/>
          <w:color w:val="262626"/>
          <w:sz w:val="21"/>
          <w:szCs w:val="21"/>
        </w:rPr>
      </w:pPr>
      <w:r w:rsidRPr="00FF7647">
        <w:rPr>
          <w:rFonts w:ascii="inherit" w:eastAsia="Times New Roman" w:hAnsi="inherit" w:cs="Arial"/>
          <w:b/>
          <w:bCs/>
          <w:color w:val="262626"/>
          <w:sz w:val="21"/>
          <w:szCs w:val="21"/>
        </w:rPr>
        <w:t>Write</w:t>
      </w:r>
      <w:r w:rsidRPr="00FF7647">
        <w:rPr>
          <w:rFonts w:ascii="inherit" w:eastAsia="Times New Roman" w:hAnsi="inherit" w:cs="Arial"/>
          <w:color w:val="262626"/>
          <w:sz w:val="21"/>
          <w:szCs w:val="21"/>
        </w:rPr>
        <w:t> a 700- to 1,050-word summary of your analysis. Identify the intervention and the market failure leading up to the intervention. Complete the following in your paper:</w:t>
      </w:r>
    </w:p>
    <w:p w14:paraId="5397609C" w14:textId="77777777" w:rsidR="00B82B7B" w:rsidRPr="00FF7647" w:rsidRDefault="00B82B7B" w:rsidP="00FF7647">
      <w:pPr>
        <w:spacing w:after="0" w:line="240" w:lineRule="auto"/>
        <w:rPr>
          <w:rFonts w:ascii="inherit" w:eastAsia="Times New Roman" w:hAnsi="inherit" w:cs="Arial"/>
          <w:color w:val="262626"/>
          <w:sz w:val="21"/>
          <w:szCs w:val="21"/>
        </w:rPr>
      </w:pPr>
    </w:p>
    <w:p w14:paraId="007C4444" w14:textId="11AC547D" w:rsidR="00FF7647" w:rsidRPr="00FF7647" w:rsidRDefault="00FF7647" w:rsidP="00FF7647">
      <w:pPr>
        <w:numPr>
          <w:ilvl w:val="1"/>
          <w:numId w:val="1"/>
        </w:numPr>
        <w:spacing w:after="0" w:line="240" w:lineRule="auto"/>
        <w:ind w:left="0"/>
        <w:rPr>
          <w:rFonts w:ascii="inherit" w:eastAsia="Times New Roman" w:hAnsi="inherit" w:cs="Arial"/>
          <w:color w:val="262626"/>
          <w:sz w:val="21"/>
          <w:szCs w:val="21"/>
        </w:rPr>
      </w:pPr>
      <w:r w:rsidRPr="00FF7647">
        <w:rPr>
          <w:rFonts w:ascii="inherit" w:eastAsia="Times New Roman" w:hAnsi="inherit" w:cs="Arial"/>
          <w:color w:val="262626"/>
          <w:sz w:val="21"/>
          <w:szCs w:val="21"/>
        </w:rPr>
        <w:t>Analyze the arguments for government intervention as opposed to arguments for market-based solutions.</w:t>
      </w:r>
      <w:r>
        <w:rPr>
          <w:rFonts w:ascii="inherit" w:eastAsia="Times New Roman" w:hAnsi="inherit" w:cs="Arial"/>
          <w:color w:val="262626"/>
          <w:sz w:val="21"/>
          <w:szCs w:val="21"/>
        </w:rPr>
        <w:t xml:space="preserve"> </w:t>
      </w:r>
      <w:r w:rsidRPr="00FF7647">
        <w:rPr>
          <w:rFonts w:ascii="inherit" w:eastAsia="Times New Roman" w:hAnsi="inherit" w:cs="Arial"/>
          <w:color w:val="262626"/>
          <w:sz w:val="21"/>
          <w:szCs w:val="21"/>
        </w:rPr>
        <w:t>Hint:</w:t>
      </w:r>
      <w:r>
        <w:rPr>
          <w:rFonts w:ascii="inherit" w:eastAsia="Times New Roman" w:hAnsi="inherit" w:cs="Arial"/>
          <w:color w:val="262626"/>
          <w:sz w:val="21"/>
          <w:szCs w:val="21"/>
        </w:rPr>
        <w:t xml:space="preserve"> </w:t>
      </w:r>
      <w:r w:rsidRPr="00FF7647">
        <w:rPr>
          <w:rFonts w:ascii="inherit" w:eastAsia="Times New Roman" w:hAnsi="inherit" w:cs="Arial"/>
          <w:color w:val="262626"/>
          <w:sz w:val="21"/>
          <w:szCs w:val="21"/>
        </w:rPr>
        <w:t>See the information about market failures.</w:t>
      </w:r>
    </w:p>
    <w:p w14:paraId="3A53964E" w14:textId="77777777" w:rsidR="00FF7647" w:rsidRPr="00FF7647" w:rsidRDefault="00FF7647" w:rsidP="00FF7647">
      <w:pPr>
        <w:numPr>
          <w:ilvl w:val="1"/>
          <w:numId w:val="1"/>
        </w:numPr>
        <w:spacing w:after="0" w:line="240" w:lineRule="auto"/>
        <w:ind w:left="0"/>
        <w:rPr>
          <w:rFonts w:ascii="inherit" w:eastAsia="Times New Roman" w:hAnsi="inherit" w:cs="Arial"/>
          <w:color w:val="262626"/>
          <w:sz w:val="21"/>
          <w:szCs w:val="21"/>
        </w:rPr>
      </w:pPr>
      <w:r w:rsidRPr="00FF7647">
        <w:rPr>
          <w:rFonts w:ascii="inherit" w:eastAsia="Times New Roman" w:hAnsi="inherit" w:cs="Arial"/>
          <w:color w:val="262626"/>
          <w:sz w:val="21"/>
          <w:szCs w:val="21"/>
        </w:rPr>
        <w:t>Examine who has been helped and who has been hurt by the selected government intervention.</w:t>
      </w:r>
    </w:p>
    <w:p w14:paraId="33BA119E" w14:textId="77777777" w:rsidR="00FF7647" w:rsidRPr="00FF7647" w:rsidRDefault="00FF7647" w:rsidP="00FF7647">
      <w:pPr>
        <w:numPr>
          <w:ilvl w:val="1"/>
          <w:numId w:val="1"/>
        </w:numPr>
        <w:spacing w:after="0" w:line="240" w:lineRule="auto"/>
        <w:ind w:left="0"/>
        <w:rPr>
          <w:rFonts w:ascii="inherit" w:eastAsia="Times New Roman" w:hAnsi="inherit" w:cs="Arial"/>
          <w:color w:val="262626"/>
          <w:sz w:val="21"/>
          <w:szCs w:val="21"/>
        </w:rPr>
      </w:pPr>
      <w:r w:rsidRPr="00FF7647">
        <w:rPr>
          <w:rFonts w:ascii="inherit" w:eastAsia="Times New Roman" w:hAnsi="inherit" w:cs="Arial"/>
          <w:color w:val="262626"/>
          <w:sz w:val="21"/>
          <w:szCs w:val="21"/>
        </w:rPr>
        <w:t>Examine externalities and unintended consequences of such intervention. For example, consider whether the SNAP program and health coverage for low-income families result in higher future tax revenues because low-income children grow up healthier and produce higher incomes over their lifetimes.</w:t>
      </w:r>
    </w:p>
    <w:p w14:paraId="0442B331" w14:textId="1B32059F" w:rsidR="00FF7647" w:rsidRPr="00FF7647" w:rsidRDefault="00FF7647" w:rsidP="00FF7647">
      <w:pPr>
        <w:numPr>
          <w:ilvl w:val="1"/>
          <w:numId w:val="1"/>
        </w:numPr>
        <w:spacing w:after="0" w:line="240" w:lineRule="auto"/>
        <w:ind w:left="0"/>
        <w:rPr>
          <w:rFonts w:ascii="inherit" w:eastAsia="Times New Roman" w:hAnsi="inherit" w:cs="Arial"/>
          <w:color w:val="262626"/>
          <w:sz w:val="21"/>
          <w:szCs w:val="21"/>
        </w:rPr>
      </w:pPr>
      <w:r w:rsidRPr="00FF7647">
        <w:rPr>
          <w:rFonts w:ascii="inherit" w:eastAsia="Times New Roman" w:hAnsi="inherit" w:cs="Arial"/>
          <w:color w:val="262626"/>
          <w:sz w:val="21"/>
          <w:szCs w:val="21"/>
        </w:rPr>
        <w:t>Analyze whether cost of the intervention you selected as a share of GDP or the number of participants is increasing,</w:t>
      </w:r>
      <w:r>
        <w:rPr>
          <w:rFonts w:ascii="inherit" w:eastAsia="Times New Roman" w:hAnsi="inherit" w:cs="Arial"/>
          <w:color w:val="262626"/>
          <w:sz w:val="21"/>
          <w:szCs w:val="21"/>
        </w:rPr>
        <w:t xml:space="preserve"> </w:t>
      </w:r>
      <w:r w:rsidRPr="00FF7647">
        <w:rPr>
          <w:rFonts w:ascii="inherit" w:eastAsia="Times New Roman" w:hAnsi="inherit" w:cs="Arial"/>
          <w:color w:val="262626"/>
          <w:sz w:val="21"/>
          <w:szCs w:val="21"/>
        </w:rPr>
        <w:t>decreasing, or varies with the state of the economy, based on the cost trend(or number of participants) since its inception or since 2000.</w:t>
      </w:r>
    </w:p>
    <w:p w14:paraId="0DE11BA5" w14:textId="77777777" w:rsidR="00FF7647" w:rsidRPr="00FF7647" w:rsidRDefault="00FF7647" w:rsidP="00FF7647">
      <w:pPr>
        <w:numPr>
          <w:ilvl w:val="1"/>
          <w:numId w:val="1"/>
        </w:numPr>
        <w:spacing w:after="0" w:line="240" w:lineRule="auto"/>
        <w:ind w:left="0"/>
        <w:rPr>
          <w:rFonts w:ascii="inherit" w:eastAsia="Times New Roman" w:hAnsi="inherit" w:cs="Arial"/>
          <w:color w:val="262626"/>
          <w:sz w:val="21"/>
          <w:szCs w:val="21"/>
        </w:rPr>
      </w:pPr>
      <w:r w:rsidRPr="00FF7647">
        <w:rPr>
          <w:rFonts w:ascii="inherit" w:eastAsia="Times New Roman" w:hAnsi="inherit" w:cs="Arial"/>
          <w:color w:val="262626"/>
          <w:sz w:val="21"/>
          <w:szCs w:val="21"/>
        </w:rPr>
        <w:t>Analyze credible economists’ opinions on the success or failure of the intervention that you chose in achieving its objectives.</w:t>
      </w:r>
    </w:p>
    <w:p w14:paraId="0FEE4F4D" w14:textId="77777777" w:rsidR="00FF7647" w:rsidRPr="00FF7647" w:rsidRDefault="00FF7647" w:rsidP="00FF7647">
      <w:pPr>
        <w:numPr>
          <w:ilvl w:val="1"/>
          <w:numId w:val="1"/>
        </w:numPr>
        <w:spacing w:after="0" w:line="240" w:lineRule="auto"/>
        <w:ind w:left="0"/>
        <w:rPr>
          <w:rFonts w:ascii="inherit" w:eastAsia="Times New Roman" w:hAnsi="inherit" w:cs="Arial"/>
          <w:color w:val="262626"/>
          <w:sz w:val="21"/>
          <w:szCs w:val="21"/>
        </w:rPr>
      </w:pPr>
      <w:r w:rsidRPr="00FF7647">
        <w:rPr>
          <w:rFonts w:ascii="inherit" w:eastAsia="Times New Roman" w:hAnsi="inherit" w:cs="Arial"/>
          <w:color w:val="262626"/>
          <w:sz w:val="21"/>
          <w:szCs w:val="21"/>
        </w:rPr>
        <w:t>Recommend whether the program should be continued as is, discontinued, or modified based on your conclusions. Defend your recommendation.</w:t>
      </w:r>
    </w:p>
    <w:p w14:paraId="446505F4" w14:textId="77777777" w:rsidR="00FF7647" w:rsidRPr="00FF7647" w:rsidRDefault="00FF7647" w:rsidP="00FF7647">
      <w:pPr>
        <w:spacing w:after="0" w:line="240" w:lineRule="auto"/>
        <w:rPr>
          <w:rFonts w:ascii="inherit" w:eastAsia="Times New Roman" w:hAnsi="inherit" w:cs="Arial"/>
          <w:color w:val="262626"/>
          <w:sz w:val="21"/>
          <w:szCs w:val="21"/>
        </w:rPr>
      </w:pPr>
    </w:p>
    <w:p w14:paraId="72A23854" w14:textId="77777777" w:rsidR="00FF7647" w:rsidRPr="00FF7647" w:rsidRDefault="00FF7647" w:rsidP="00FF7647">
      <w:pPr>
        <w:spacing w:after="0" w:line="240" w:lineRule="auto"/>
        <w:rPr>
          <w:rFonts w:ascii="inherit" w:eastAsia="Times New Roman" w:hAnsi="inherit" w:cs="Arial"/>
          <w:color w:val="262626"/>
          <w:sz w:val="21"/>
          <w:szCs w:val="21"/>
        </w:rPr>
      </w:pPr>
      <w:r w:rsidRPr="00FF7647">
        <w:rPr>
          <w:rFonts w:ascii="inherit" w:eastAsia="Times New Roman" w:hAnsi="inherit" w:cs="Arial"/>
          <w:i/>
          <w:iCs/>
          <w:color w:val="262626"/>
          <w:sz w:val="21"/>
          <w:szCs w:val="21"/>
        </w:rPr>
        <w:t>Note</w:t>
      </w:r>
      <w:r w:rsidRPr="00FF7647">
        <w:rPr>
          <w:rFonts w:ascii="inherit" w:eastAsia="Times New Roman" w:hAnsi="inherit" w:cs="Arial"/>
          <w:color w:val="262626"/>
          <w:sz w:val="21"/>
          <w:szCs w:val="21"/>
        </w:rPr>
        <w:t>: Use of charts and graphs is encouraged with appropriate citations. Any charts or graphs retrieved from the Federal Reserve Bank of St. Louis FRED website may only be included when the data sources used by FRED are US government sources such as the Bureau of Economic Analysis or the Bureau of Labor Statistics. </w:t>
      </w:r>
    </w:p>
    <w:p w14:paraId="5457F4C9" w14:textId="7BC74145" w:rsidR="00FF7647" w:rsidRDefault="00FF7647" w:rsidP="00FF7647">
      <w:pPr>
        <w:pBdr>
          <w:top w:val="single" w:sz="6" w:space="1" w:color="auto"/>
        </w:pBdr>
        <w:spacing w:after="0" w:line="240" w:lineRule="auto"/>
        <w:jc w:val="center"/>
        <w:rPr>
          <w:rFonts w:ascii="Arial" w:eastAsia="Times New Roman" w:hAnsi="Arial" w:cs="Arial"/>
          <w:sz w:val="16"/>
          <w:szCs w:val="16"/>
        </w:rPr>
      </w:pPr>
      <w:r w:rsidRPr="00FF7647">
        <w:rPr>
          <w:rFonts w:ascii="Arial" w:eastAsia="Times New Roman" w:hAnsi="Arial" w:cs="Arial"/>
          <w:vanish/>
          <w:sz w:val="16"/>
          <w:szCs w:val="16"/>
        </w:rPr>
        <w:t>Bottom of Form</w:t>
      </w:r>
    </w:p>
    <w:p w14:paraId="261FDBD8" w14:textId="2F41B6FA" w:rsidR="00FF7647" w:rsidRDefault="00FF7647" w:rsidP="00FF7647">
      <w:pPr>
        <w:pBdr>
          <w:top w:val="single" w:sz="6" w:space="1" w:color="auto"/>
        </w:pBdr>
        <w:spacing w:after="0" w:line="240" w:lineRule="auto"/>
        <w:jc w:val="center"/>
        <w:rPr>
          <w:rFonts w:ascii="Arial" w:eastAsia="Times New Roman" w:hAnsi="Arial" w:cs="Arial"/>
          <w:sz w:val="16"/>
          <w:szCs w:val="16"/>
        </w:rPr>
      </w:pPr>
    </w:p>
    <w:p w14:paraId="579A30BC" w14:textId="0F2A6E96" w:rsidR="00FF7647" w:rsidRPr="00FF7647" w:rsidRDefault="00B82B7B" w:rsidP="00B82B7B">
      <w:pPr>
        <w:shd w:val="clear" w:color="auto" w:fill="FFFFFF"/>
        <w:spacing w:before="100" w:beforeAutospacing="1" w:after="100" w:afterAutospacing="1" w:line="240" w:lineRule="auto"/>
        <w:rPr>
          <w:rFonts w:ascii="inherit" w:eastAsia="Times New Roman" w:hAnsi="inherit" w:cs="Arial"/>
          <w:color w:val="262626"/>
          <w:sz w:val="21"/>
          <w:szCs w:val="21"/>
        </w:rPr>
      </w:pPr>
      <w:r w:rsidRPr="00B82B7B">
        <w:rPr>
          <w:rFonts w:ascii="inherit" w:eastAsia="Times New Roman" w:hAnsi="inherit" w:cs="Arial"/>
          <w:color w:val="262626"/>
          <w:sz w:val="21"/>
          <w:szCs w:val="21"/>
        </w:rPr>
        <w:t>Format your assignment according to APA guidelines</w:t>
      </w:r>
      <w:r w:rsidR="00DE2730">
        <w:rPr>
          <w:rFonts w:ascii="inherit" w:eastAsia="Times New Roman" w:hAnsi="inherit" w:cs="Arial"/>
          <w:color w:val="262626"/>
          <w:sz w:val="21"/>
          <w:szCs w:val="21"/>
        </w:rPr>
        <w:t>, i</w:t>
      </w:r>
      <w:r>
        <w:rPr>
          <w:rFonts w:ascii="inherit" w:eastAsia="Times New Roman" w:hAnsi="inherit" w:cs="Arial"/>
          <w:color w:val="262626"/>
          <w:sz w:val="21"/>
          <w:szCs w:val="21"/>
        </w:rPr>
        <w:t xml:space="preserve">ncluding </w:t>
      </w:r>
      <w:r w:rsidR="00DE2730">
        <w:rPr>
          <w:rFonts w:ascii="inherit" w:eastAsia="Times New Roman" w:hAnsi="inherit" w:cs="Arial"/>
          <w:color w:val="262626"/>
          <w:sz w:val="21"/>
          <w:szCs w:val="21"/>
        </w:rPr>
        <w:t>conclusion</w:t>
      </w:r>
    </w:p>
    <w:p w14:paraId="514C8BF0" w14:textId="77777777" w:rsidR="00FF7647" w:rsidRPr="00FF7647" w:rsidRDefault="00FF7647" w:rsidP="00FF7647">
      <w:pPr>
        <w:pBdr>
          <w:bottom w:val="single" w:sz="6" w:space="1" w:color="auto"/>
        </w:pBdr>
        <w:spacing w:after="0" w:line="240" w:lineRule="auto"/>
        <w:jc w:val="center"/>
        <w:rPr>
          <w:rFonts w:ascii="Arial" w:eastAsia="Times New Roman" w:hAnsi="Arial" w:cs="Arial"/>
          <w:vanish/>
          <w:sz w:val="16"/>
          <w:szCs w:val="16"/>
        </w:rPr>
      </w:pPr>
      <w:r w:rsidRPr="00FF7647">
        <w:rPr>
          <w:rFonts w:ascii="Arial" w:eastAsia="Times New Roman" w:hAnsi="Arial" w:cs="Arial"/>
          <w:vanish/>
          <w:sz w:val="16"/>
          <w:szCs w:val="16"/>
        </w:rPr>
        <w:lastRenderedPageBreak/>
        <w:t>Top of Form</w:t>
      </w:r>
    </w:p>
    <w:p w14:paraId="00A168C2" w14:textId="77777777" w:rsidR="00FF7647" w:rsidRPr="00FF7647" w:rsidRDefault="00FF7647" w:rsidP="00FF7647">
      <w:pPr>
        <w:spacing w:after="0" w:line="240" w:lineRule="auto"/>
        <w:rPr>
          <w:rFonts w:ascii="inherit" w:eastAsia="Times New Roman" w:hAnsi="inherit" w:cs="Arial"/>
          <w:color w:val="262626"/>
          <w:sz w:val="21"/>
          <w:szCs w:val="21"/>
        </w:rPr>
      </w:pPr>
      <w:r w:rsidRPr="00FF7647">
        <w:rPr>
          <w:rFonts w:ascii="inherit" w:eastAsia="Times New Roman" w:hAnsi="inherit" w:cs="Arial"/>
          <w:b/>
          <w:bCs/>
          <w:color w:val="262626"/>
          <w:sz w:val="21"/>
          <w:szCs w:val="21"/>
        </w:rPr>
        <w:t>Review</w:t>
      </w:r>
      <w:r w:rsidRPr="00FF7647">
        <w:rPr>
          <w:rFonts w:ascii="inherit" w:eastAsia="Times New Roman" w:hAnsi="inherit" w:cs="Arial"/>
          <w:color w:val="262626"/>
          <w:sz w:val="21"/>
          <w:szCs w:val="21"/>
        </w:rPr>
        <w:t xml:space="preserve"> the </w:t>
      </w:r>
      <w:hyperlink r:id="rId5" w:tgtFrame="_blank" w:history="1">
        <w:proofErr w:type="spellStart"/>
        <w:r w:rsidRPr="00FF7647">
          <w:rPr>
            <w:rFonts w:ascii="inherit" w:eastAsia="Times New Roman" w:hAnsi="inherit" w:cs="Arial"/>
            <w:color w:val="2075A3"/>
            <w:sz w:val="21"/>
            <w:szCs w:val="21"/>
            <w:u w:val="single"/>
          </w:rPr>
          <w:t>Wk</w:t>
        </w:r>
        <w:proofErr w:type="spellEnd"/>
        <w:r w:rsidRPr="00FF7647">
          <w:rPr>
            <w:rFonts w:ascii="inherit" w:eastAsia="Times New Roman" w:hAnsi="inherit" w:cs="Arial"/>
            <w:color w:val="2075A3"/>
            <w:sz w:val="21"/>
            <w:szCs w:val="21"/>
            <w:u w:val="single"/>
          </w:rPr>
          <w:t xml:space="preserve"> 4 Re</w:t>
        </w:r>
        <w:r w:rsidRPr="00FF7647">
          <w:rPr>
            <w:rFonts w:ascii="inherit" w:eastAsia="Times New Roman" w:hAnsi="inherit" w:cs="Arial"/>
            <w:color w:val="2075A3"/>
            <w:sz w:val="21"/>
            <w:szCs w:val="21"/>
            <w:u w:val="single"/>
          </w:rPr>
          <w:t>s</w:t>
        </w:r>
        <w:r w:rsidRPr="00FF7647">
          <w:rPr>
            <w:rFonts w:ascii="inherit" w:eastAsia="Times New Roman" w:hAnsi="inherit" w:cs="Arial"/>
            <w:color w:val="2075A3"/>
            <w:sz w:val="21"/>
            <w:szCs w:val="21"/>
            <w:u w:val="single"/>
          </w:rPr>
          <w:t>ources</w:t>
        </w:r>
      </w:hyperlink>
      <w:r w:rsidRPr="00FF7647">
        <w:rPr>
          <w:rFonts w:ascii="inherit" w:eastAsia="Times New Roman" w:hAnsi="inherit" w:cs="Arial"/>
          <w:color w:val="262626"/>
          <w:sz w:val="21"/>
          <w:szCs w:val="21"/>
        </w:rPr>
        <w:t>.</w:t>
      </w:r>
    </w:p>
    <w:p w14:paraId="3D5C6C9E" w14:textId="77777777" w:rsidR="00FF7647" w:rsidRPr="00FF7647" w:rsidRDefault="00FF7647" w:rsidP="00FF7647">
      <w:pPr>
        <w:numPr>
          <w:ilvl w:val="0"/>
          <w:numId w:val="2"/>
        </w:numPr>
        <w:spacing w:after="0" w:line="240" w:lineRule="auto"/>
        <w:rPr>
          <w:rFonts w:ascii="Arial" w:eastAsia="Times New Roman" w:hAnsi="Arial" w:cs="Arial"/>
          <w:sz w:val="16"/>
          <w:szCs w:val="16"/>
        </w:rPr>
      </w:pPr>
      <w:hyperlink r:id="rId6" w:tgtFrame="_blank" w:history="1">
        <w:r w:rsidRPr="00FF7647">
          <w:rPr>
            <w:rStyle w:val="Hyperlink"/>
            <w:rFonts w:ascii="Arial" w:eastAsia="Times New Roman" w:hAnsi="Arial" w:cs="Arial"/>
            <w:sz w:val="16"/>
            <w:szCs w:val="16"/>
          </w:rPr>
          <w:t>American Recovery and Reinvestment Act of 2009</w:t>
        </w:r>
      </w:hyperlink>
    </w:p>
    <w:p w14:paraId="1DBFB7DA" w14:textId="77777777" w:rsidR="00FF7647" w:rsidRPr="00FF7647" w:rsidRDefault="00FF7647" w:rsidP="00FF7647">
      <w:pPr>
        <w:numPr>
          <w:ilvl w:val="0"/>
          <w:numId w:val="2"/>
        </w:numPr>
        <w:spacing w:after="0" w:line="240" w:lineRule="auto"/>
        <w:rPr>
          <w:rFonts w:ascii="Arial" w:eastAsia="Times New Roman" w:hAnsi="Arial" w:cs="Arial"/>
          <w:sz w:val="16"/>
          <w:szCs w:val="16"/>
        </w:rPr>
      </w:pPr>
      <w:hyperlink r:id="rId7" w:tgtFrame="_blank" w:history="1">
        <w:r w:rsidRPr="00FF7647">
          <w:rPr>
            <w:rStyle w:val="Hyperlink"/>
            <w:rFonts w:ascii="Arial" w:eastAsia="Times New Roman" w:hAnsi="Arial" w:cs="Arial"/>
            <w:sz w:val="16"/>
            <w:szCs w:val="16"/>
          </w:rPr>
          <w:t>Bailout Tracker</w:t>
        </w:r>
      </w:hyperlink>
    </w:p>
    <w:p w14:paraId="5EFCE07D" w14:textId="77777777" w:rsidR="00FF7647" w:rsidRPr="00FF7647" w:rsidRDefault="00FF7647" w:rsidP="00FF7647">
      <w:pPr>
        <w:numPr>
          <w:ilvl w:val="0"/>
          <w:numId w:val="2"/>
        </w:numPr>
        <w:spacing w:after="0" w:line="240" w:lineRule="auto"/>
        <w:rPr>
          <w:rFonts w:ascii="Arial" w:eastAsia="Times New Roman" w:hAnsi="Arial" w:cs="Arial"/>
          <w:sz w:val="16"/>
          <w:szCs w:val="16"/>
        </w:rPr>
      </w:pPr>
      <w:hyperlink r:id="rId8" w:tgtFrame="_blank" w:history="1">
        <w:r w:rsidRPr="00FF7647">
          <w:rPr>
            <w:rStyle w:val="Hyperlink"/>
            <w:rFonts w:ascii="Arial" w:eastAsia="Times New Roman" w:hAnsi="Arial" w:cs="Arial"/>
            <w:sz w:val="16"/>
            <w:szCs w:val="16"/>
          </w:rPr>
          <w:t>Bureau of Economic Analysis</w:t>
        </w:r>
      </w:hyperlink>
    </w:p>
    <w:p w14:paraId="263D0164" w14:textId="77777777" w:rsidR="00FF7647" w:rsidRPr="00FF7647" w:rsidRDefault="00FF7647" w:rsidP="00FF7647">
      <w:pPr>
        <w:numPr>
          <w:ilvl w:val="0"/>
          <w:numId w:val="2"/>
        </w:numPr>
        <w:spacing w:after="0" w:line="240" w:lineRule="auto"/>
        <w:rPr>
          <w:rFonts w:ascii="Arial" w:eastAsia="Times New Roman" w:hAnsi="Arial" w:cs="Arial"/>
          <w:sz w:val="16"/>
          <w:szCs w:val="16"/>
        </w:rPr>
      </w:pPr>
      <w:hyperlink r:id="rId9" w:tgtFrame="_blank" w:history="1">
        <w:r w:rsidRPr="00FF7647">
          <w:rPr>
            <w:rStyle w:val="Hyperlink"/>
            <w:rFonts w:ascii="Arial" w:eastAsia="Times New Roman" w:hAnsi="Arial" w:cs="Arial"/>
            <w:sz w:val="16"/>
            <w:szCs w:val="16"/>
          </w:rPr>
          <w:t>Emergency Economic Stabilization Act of 2008 (TARP)</w:t>
        </w:r>
      </w:hyperlink>
    </w:p>
    <w:p w14:paraId="0D6B14F9" w14:textId="77777777" w:rsidR="00FF7647" w:rsidRPr="00FF7647" w:rsidRDefault="00FF7647" w:rsidP="00FF7647">
      <w:pPr>
        <w:numPr>
          <w:ilvl w:val="0"/>
          <w:numId w:val="2"/>
        </w:numPr>
        <w:spacing w:after="0" w:line="240" w:lineRule="auto"/>
        <w:rPr>
          <w:rFonts w:ascii="Arial" w:eastAsia="Times New Roman" w:hAnsi="Arial" w:cs="Arial"/>
          <w:sz w:val="16"/>
          <w:szCs w:val="16"/>
        </w:rPr>
      </w:pPr>
      <w:hyperlink r:id="rId10" w:tgtFrame="_blank" w:history="1">
        <w:r w:rsidRPr="00FF7647">
          <w:rPr>
            <w:rStyle w:val="Hyperlink"/>
            <w:rFonts w:ascii="Arial" w:eastAsia="Times New Roman" w:hAnsi="Arial" w:cs="Arial"/>
            <w:sz w:val="16"/>
            <w:szCs w:val="16"/>
          </w:rPr>
          <w:t>Federal Reserve Bank of San Francisco</w:t>
        </w:r>
      </w:hyperlink>
    </w:p>
    <w:p w14:paraId="60105E69" w14:textId="77777777" w:rsidR="00FF7647" w:rsidRPr="00FF7647" w:rsidRDefault="00FF7647" w:rsidP="00FF7647">
      <w:pPr>
        <w:numPr>
          <w:ilvl w:val="0"/>
          <w:numId w:val="2"/>
        </w:numPr>
        <w:spacing w:after="0" w:line="240" w:lineRule="auto"/>
        <w:rPr>
          <w:rFonts w:ascii="Arial" w:eastAsia="Times New Roman" w:hAnsi="Arial" w:cs="Arial"/>
          <w:sz w:val="16"/>
          <w:szCs w:val="16"/>
        </w:rPr>
      </w:pPr>
      <w:hyperlink r:id="rId11" w:tgtFrame="_blank" w:history="1">
        <w:r w:rsidRPr="00FF7647">
          <w:rPr>
            <w:rStyle w:val="Hyperlink"/>
            <w:rFonts w:ascii="Arial" w:eastAsia="Times New Roman" w:hAnsi="Arial" w:cs="Arial"/>
            <w:sz w:val="16"/>
            <w:szCs w:val="16"/>
          </w:rPr>
          <w:t>Federal Reserve Economic Data (FRED)</w:t>
        </w:r>
      </w:hyperlink>
    </w:p>
    <w:p w14:paraId="6F02C6B2" w14:textId="77777777" w:rsidR="00FF7647" w:rsidRPr="00FF7647" w:rsidRDefault="00FF7647" w:rsidP="00FF7647">
      <w:pPr>
        <w:numPr>
          <w:ilvl w:val="0"/>
          <w:numId w:val="2"/>
        </w:numPr>
        <w:spacing w:after="0" w:line="240" w:lineRule="auto"/>
        <w:rPr>
          <w:rFonts w:ascii="Arial" w:eastAsia="Times New Roman" w:hAnsi="Arial" w:cs="Arial"/>
          <w:sz w:val="16"/>
          <w:szCs w:val="16"/>
        </w:rPr>
      </w:pPr>
      <w:hyperlink r:id="rId12" w:tgtFrame="_blank" w:history="1">
        <w:r w:rsidRPr="00FF7647">
          <w:rPr>
            <w:rStyle w:val="Hyperlink"/>
            <w:rFonts w:ascii="Arial" w:eastAsia="Times New Roman" w:hAnsi="Arial" w:cs="Arial"/>
            <w:sz w:val="16"/>
            <w:szCs w:val="16"/>
          </w:rPr>
          <w:t>Financial Crisis Inquiry Commission</w:t>
        </w:r>
      </w:hyperlink>
    </w:p>
    <w:p w14:paraId="588D91B9" w14:textId="77777777" w:rsidR="00FF7647" w:rsidRPr="00FF7647" w:rsidRDefault="00FF7647" w:rsidP="00FF7647">
      <w:pPr>
        <w:numPr>
          <w:ilvl w:val="0"/>
          <w:numId w:val="2"/>
        </w:numPr>
        <w:spacing w:after="0" w:line="240" w:lineRule="auto"/>
        <w:rPr>
          <w:rFonts w:ascii="Arial" w:eastAsia="Times New Roman" w:hAnsi="Arial" w:cs="Arial"/>
          <w:sz w:val="16"/>
          <w:szCs w:val="16"/>
        </w:rPr>
      </w:pPr>
      <w:hyperlink r:id="rId13" w:tgtFrame="_blank" w:history="1">
        <w:r w:rsidRPr="00FF7647">
          <w:rPr>
            <w:rStyle w:val="Hyperlink"/>
            <w:rFonts w:ascii="Arial" w:eastAsia="Times New Roman" w:hAnsi="Arial" w:cs="Arial"/>
            <w:sz w:val="16"/>
            <w:szCs w:val="16"/>
          </w:rPr>
          <w:t xml:space="preserve">The </w:t>
        </w:r>
        <w:proofErr w:type="spellStart"/>
        <w:r w:rsidRPr="00FF7647">
          <w:rPr>
            <w:rStyle w:val="Hyperlink"/>
            <w:rFonts w:ascii="Arial" w:eastAsia="Times New Roman" w:hAnsi="Arial" w:cs="Arial"/>
            <w:sz w:val="16"/>
            <w:szCs w:val="16"/>
          </w:rPr>
          <w:t>Organisation</w:t>
        </w:r>
        <w:proofErr w:type="spellEnd"/>
        <w:r w:rsidRPr="00FF7647">
          <w:rPr>
            <w:rStyle w:val="Hyperlink"/>
            <w:rFonts w:ascii="Arial" w:eastAsia="Times New Roman" w:hAnsi="Arial" w:cs="Arial"/>
            <w:sz w:val="16"/>
            <w:szCs w:val="16"/>
          </w:rPr>
          <w:t xml:space="preserve"> for Economic Co-operation and Development</w:t>
        </w:r>
      </w:hyperlink>
    </w:p>
    <w:p w14:paraId="4A1C582C" w14:textId="77777777" w:rsidR="00FF7647" w:rsidRPr="00FF7647" w:rsidRDefault="00FF7647" w:rsidP="00FF7647">
      <w:pPr>
        <w:numPr>
          <w:ilvl w:val="0"/>
          <w:numId w:val="3"/>
        </w:numPr>
        <w:spacing w:after="0" w:line="240" w:lineRule="auto"/>
        <w:rPr>
          <w:rFonts w:ascii="Arial" w:eastAsia="Times New Roman" w:hAnsi="Arial" w:cs="Arial"/>
          <w:sz w:val="16"/>
          <w:szCs w:val="16"/>
        </w:rPr>
      </w:pPr>
      <w:hyperlink r:id="rId14" w:tgtFrame="_blank" w:history="1">
        <w:r w:rsidRPr="00FF7647">
          <w:rPr>
            <w:rStyle w:val="Hyperlink"/>
            <w:rFonts w:ascii="Arial" w:eastAsia="Times New Roman" w:hAnsi="Arial" w:cs="Arial"/>
            <w:sz w:val="16"/>
            <w:szCs w:val="16"/>
          </w:rPr>
          <w:t>United States Bureau of Labor Statistics</w:t>
        </w:r>
      </w:hyperlink>
    </w:p>
    <w:p w14:paraId="3C6F7464" w14:textId="77777777" w:rsidR="00FF7647" w:rsidRPr="00FF7647" w:rsidRDefault="00FF7647" w:rsidP="00FF7647">
      <w:pPr>
        <w:numPr>
          <w:ilvl w:val="0"/>
          <w:numId w:val="4"/>
        </w:numPr>
        <w:spacing w:after="0" w:line="240" w:lineRule="auto"/>
        <w:rPr>
          <w:rFonts w:ascii="Arial" w:eastAsia="Times New Roman" w:hAnsi="Arial" w:cs="Arial"/>
          <w:sz w:val="16"/>
          <w:szCs w:val="16"/>
        </w:rPr>
      </w:pPr>
      <w:hyperlink r:id="rId15" w:tgtFrame="_blank" w:history="1">
        <w:r w:rsidRPr="00FF7647">
          <w:rPr>
            <w:rStyle w:val="Hyperlink"/>
            <w:rFonts w:ascii="Arial" w:eastAsia="Times New Roman" w:hAnsi="Arial" w:cs="Arial"/>
            <w:sz w:val="16"/>
            <w:szCs w:val="16"/>
          </w:rPr>
          <w:t>United States Census Bureau</w:t>
        </w:r>
      </w:hyperlink>
    </w:p>
    <w:p w14:paraId="1AD0E318" w14:textId="77777777" w:rsidR="00FF7647" w:rsidRPr="00FF7647" w:rsidRDefault="00FF7647" w:rsidP="00FF7647">
      <w:pPr>
        <w:spacing w:after="0" w:line="240" w:lineRule="auto"/>
        <w:rPr>
          <w:rFonts w:ascii="Arial" w:eastAsia="Times New Roman" w:hAnsi="Arial" w:cs="Arial"/>
          <w:sz w:val="16"/>
          <w:szCs w:val="16"/>
        </w:rPr>
      </w:pPr>
      <w:r w:rsidRPr="00FF7647">
        <w:rPr>
          <w:rFonts w:ascii="Arial" w:eastAsia="Times New Roman" w:hAnsi="Arial" w:cs="Arial"/>
          <w:sz w:val="16"/>
          <w:szCs w:val="16"/>
        </w:rPr>
        <w:t>The Census Bureau's mission is to serve as the leading source of quality data about the nation's people and economy.</w:t>
      </w:r>
    </w:p>
    <w:p w14:paraId="07154F91" w14:textId="77777777" w:rsidR="00FF7647" w:rsidRPr="00FF7647" w:rsidRDefault="00FF7647" w:rsidP="00FF7647">
      <w:pPr>
        <w:pBdr>
          <w:top w:val="single" w:sz="6" w:space="1" w:color="auto"/>
        </w:pBdr>
        <w:spacing w:after="0" w:line="240" w:lineRule="auto"/>
        <w:jc w:val="center"/>
        <w:rPr>
          <w:rFonts w:ascii="Arial" w:eastAsia="Times New Roman" w:hAnsi="Arial" w:cs="Arial"/>
          <w:vanish/>
          <w:sz w:val="16"/>
          <w:szCs w:val="16"/>
        </w:rPr>
      </w:pPr>
    </w:p>
    <w:p w14:paraId="1BF17035" w14:textId="77777777" w:rsidR="001921BF" w:rsidRDefault="002642DE"/>
    <w:sectPr w:rsidR="001921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C522CD"/>
    <w:multiLevelType w:val="multilevel"/>
    <w:tmpl w:val="88B06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2C531A"/>
    <w:multiLevelType w:val="multilevel"/>
    <w:tmpl w:val="A720E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D61250E"/>
    <w:multiLevelType w:val="multilevel"/>
    <w:tmpl w:val="7DE655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63D50A4"/>
    <w:multiLevelType w:val="multilevel"/>
    <w:tmpl w:val="BC34C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647"/>
    <w:rsid w:val="002642DE"/>
    <w:rsid w:val="007410AF"/>
    <w:rsid w:val="00B118D4"/>
    <w:rsid w:val="00B82B7B"/>
    <w:rsid w:val="00DE2730"/>
    <w:rsid w:val="00FF7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4E79E"/>
  <w15:chartTrackingRefBased/>
  <w15:docId w15:val="{8191DEB9-29AC-4C47-B3C2-F570B5FDA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F764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F764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764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F7647"/>
    <w:rPr>
      <w:rFonts w:ascii="Times New Roman" w:eastAsia="Times New Roman" w:hAnsi="Times New Roman" w:cs="Times New Roman"/>
      <w:b/>
      <w:bCs/>
      <w:sz w:val="36"/>
      <w:szCs w:val="36"/>
    </w:rPr>
  </w:style>
  <w:style w:type="paragraph" w:styleId="z-TopofForm">
    <w:name w:val="HTML Top of Form"/>
    <w:basedOn w:val="Normal"/>
    <w:next w:val="Normal"/>
    <w:link w:val="z-TopofFormChar"/>
    <w:hidden/>
    <w:uiPriority w:val="99"/>
    <w:semiHidden/>
    <w:unhideWhenUsed/>
    <w:rsid w:val="00FF764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F764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764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7647"/>
    <w:rPr>
      <w:rFonts w:ascii="Arial" w:eastAsia="Times New Roman" w:hAnsi="Arial" w:cs="Arial"/>
      <w:vanish/>
      <w:sz w:val="16"/>
      <w:szCs w:val="16"/>
    </w:rPr>
  </w:style>
  <w:style w:type="paragraph" w:styleId="NormalWeb">
    <w:name w:val="Normal (Web)"/>
    <w:basedOn w:val="Normal"/>
    <w:uiPriority w:val="99"/>
    <w:semiHidden/>
    <w:unhideWhenUsed/>
    <w:rsid w:val="00FF764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F7647"/>
    <w:rPr>
      <w:b/>
      <w:bCs/>
    </w:rPr>
  </w:style>
  <w:style w:type="character" w:styleId="Hyperlink">
    <w:name w:val="Hyperlink"/>
    <w:basedOn w:val="DefaultParagraphFont"/>
    <w:uiPriority w:val="99"/>
    <w:unhideWhenUsed/>
    <w:rsid w:val="00FF7647"/>
    <w:rPr>
      <w:color w:val="0000FF"/>
      <w:u w:val="single"/>
    </w:rPr>
  </w:style>
  <w:style w:type="paragraph" w:customStyle="1" w:styleId="ql-indent-1">
    <w:name w:val="ql-indent-1"/>
    <w:basedOn w:val="Normal"/>
    <w:rsid w:val="00FF764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F7647"/>
    <w:rPr>
      <w:i/>
      <w:iCs/>
    </w:rPr>
  </w:style>
  <w:style w:type="character" w:styleId="UnresolvedMention">
    <w:name w:val="Unresolved Mention"/>
    <w:basedOn w:val="DefaultParagraphFont"/>
    <w:uiPriority w:val="99"/>
    <w:semiHidden/>
    <w:unhideWhenUsed/>
    <w:rsid w:val="00FF76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438459">
      <w:bodyDiv w:val="1"/>
      <w:marLeft w:val="0"/>
      <w:marRight w:val="0"/>
      <w:marTop w:val="0"/>
      <w:marBottom w:val="0"/>
      <w:divBdr>
        <w:top w:val="none" w:sz="0" w:space="0" w:color="auto"/>
        <w:left w:val="none" w:sz="0" w:space="0" w:color="auto"/>
        <w:bottom w:val="none" w:sz="0" w:space="0" w:color="auto"/>
        <w:right w:val="none" w:sz="0" w:space="0" w:color="auto"/>
      </w:divBdr>
      <w:divsChild>
        <w:div w:id="1766878797">
          <w:marLeft w:val="0"/>
          <w:marRight w:val="0"/>
          <w:marTop w:val="0"/>
          <w:marBottom w:val="0"/>
          <w:divBdr>
            <w:top w:val="none" w:sz="0" w:space="0" w:color="auto"/>
            <w:left w:val="none" w:sz="0" w:space="0" w:color="auto"/>
            <w:bottom w:val="single" w:sz="6" w:space="0" w:color="CDCDCD"/>
            <w:right w:val="none" w:sz="0" w:space="0" w:color="auto"/>
          </w:divBdr>
          <w:divsChild>
            <w:div w:id="1498809804">
              <w:marLeft w:val="0"/>
              <w:marRight w:val="0"/>
              <w:marTop w:val="0"/>
              <w:marBottom w:val="0"/>
              <w:divBdr>
                <w:top w:val="none" w:sz="0" w:space="0" w:color="auto"/>
                <w:left w:val="none" w:sz="0" w:space="0" w:color="auto"/>
                <w:bottom w:val="none" w:sz="0" w:space="0" w:color="auto"/>
                <w:right w:val="none" w:sz="0" w:space="0" w:color="auto"/>
              </w:divBdr>
              <w:divsChild>
                <w:div w:id="1548377801">
                  <w:marLeft w:val="0"/>
                  <w:marRight w:val="0"/>
                  <w:marTop w:val="0"/>
                  <w:marBottom w:val="0"/>
                  <w:divBdr>
                    <w:top w:val="none" w:sz="0" w:space="0" w:color="auto"/>
                    <w:left w:val="none" w:sz="0" w:space="0" w:color="auto"/>
                    <w:bottom w:val="none" w:sz="0" w:space="0" w:color="auto"/>
                    <w:right w:val="none" w:sz="0" w:space="0" w:color="auto"/>
                  </w:divBdr>
                  <w:divsChild>
                    <w:div w:id="112049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210854">
          <w:marLeft w:val="0"/>
          <w:marRight w:val="0"/>
          <w:marTop w:val="0"/>
          <w:marBottom w:val="0"/>
          <w:divBdr>
            <w:top w:val="none" w:sz="0" w:space="0" w:color="auto"/>
            <w:left w:val="none" w:sz="0" w:space="0" w:color="auto"/>
            <w:bottom w:val="none" w:sz="0" w:space="0" w:color="auto"/>
            <w:right w:val="none" w:sz="0" w:space="0" w:color="auto"/>
          </w:divBdr>
          <w:divsChild>
            <w:div w:id="1352410383">
              <w:marLeft w:val="0"/>
              <w:marRight w:val="0"/>
              <w:marTop w:val="0"/>
              <w:marBottom w:val="0"/>
              <w:divBdr>
                <w:top w:val="none" w:sz="0" w:space="0" w:color="auto"/>
                <w:left w:val="none" w:sz="0" w:space="0" w:color="auto"/>
                <w:bottom w:val="none" w:sz="0" w:space="0" w:color="auto"/>
                <w:right w:val="single" w:sz="6" w:space="0" w:color="CDCDCD"/>
              </w:divBdr>
              <w:divsChild>
                <w:div w:id="1482580013">
                  <w:marLeft w:val="0"/>
                  <w:marRight w:val="0"/>
                  <w:marTop w:val="0"/>
                  <w:marBottom w:val="0"/>
                  <w:divBdr>
                    <w:top w:val="none" w:sz="0" w:space="0" w:color="auto"/>
                    <w:left w:val="none" w:sz="0" w:space="0" w:color="auto"/>
                    <w:bottom w:val="none" w:sz="0" w:space="0" w:color="auto"/>
                    <w:right w:val="none" w:sz="0" w:space="0" w:color="auto"/>
                  </w:divBdr>
                  <w:divsChild>
                    <w:div w:id="1337073565">
                      <w:marLeft w:val="0"/>
                      <w:marRight w:val="0"/>
                      <w:marTop w:val="0"/>
                      <w:marBottom w:val="0"/>
                      <w:divBdr>
                        <w:top w:val="none" w:sz="0" w:space="0" w:color="auto"/>
                        <w:left w:val="none" w:sz="0" w:space="0" w:color="auto"/>
                        <w:bottom w:val="none" w:sz="0" w:space="0" w:color="auto"/>
                        <w:right w:val="none" w:sz="0" w:space="0" w:color="auto"/>
                      </w:divBdr>
                      <w:divsChild>
                        <w:div w:id="637960079">
                          <w:marLeft w:val="0"/>
                          <w:marRight w:val="0"/>
                          <w:marTop w:val="0"/>
                          <w:marBottom w:val="0"/>
                          <w:divBdr>
                            <w:top w:val="none" w:sz="0" w:space="0" w:color="auto"/>
                            <w:left w:val="none" w:sz="0" w:space="0" w:color="auto"/>
                            <w:bottom w:val="none" w:sz="0" w:space="0" w:color="auto"/>
                            <w:right w:val="none" w:sz="0" w:space="0" w:color="auto"/>
                          </w:divBdr>
                        </w:div>
                        <w:div w:id="272179034">
                          <w:marLeft w:val="0"/>
                          <w:marRight w:val="0"/>
                          <w:marTop w:val="0"/>
                          <w:marBottom w:val="0"/>
                          <w:divBdr>
                            <w:top w:val="none" w:sz="0" w:space="0" w:color="auto"/>
                            <w:left w:val="none" w:sz="0" w:space="0" w:color="auto"/>
                            <w:bottom w:val="none" w:sz="0" w:space="0" w:color="auto"/>
                            <w:right w:val="none" w:sz="0" w:space="0" w:color="auto"/>
                          </w:divBdr>
                          <w:divsChild>
                            <w:div w:id="753940991">
                              <w:marLeft w:val="0"/>
                              <w:marRight w:val="0"/>
                              <w:marTop w:val="0"/>
                              <w:marBottom w:val="0"/>
                              <w:divBdr>
                                <w:top w:val="none" w:sz="0" w:space="0" w:color="auto"/>
                                <w:left w:val="none" w:sz="0" w:space="0" w:color="auto"/>
                                <w:bottom w:val="none" w:sz="0" w:space="0" w:color="auto"/>
                                <w:right w:val="none" w:sz="0" w:space="0" w:color="auto"/>
                              </w:divBdr>
                              <w:divsChild>
                                <w:div w:id="235021389">
                                  <w:marLeft w:val="0"/>
                                  <w:marRight w:val="0"/>
                                  <w:marTop w:val="0"/>
                                  <w:marBottom w:val="0"/>
                                  <w:divBdr>
                                    <w:top w:val="none" w:sz="0" w:space="0" w:color="auto"/>
                                    <w:left w:val="none" w:sz="0" w:space="0" w:color="auto"/>
                                    <w:bottom w:val="none" w:sz="0" w:space="0" w:color="auto"/>
                                    <w:right w:val="none" w:sz="0" w:space="0" w:color="auto"/>
                                  </w:divBdr>
                                  <w:divsChild>
                                    <w:div w:id="326060378">
                                      <w:marLeft w:val="0"/>
                                      <w:marRight w:val="0"/>
                                      <w:marTop w:val="0"/>
                                      <w:marBottom w:val="0"/>
                                      <w:divBdr>
                                        <w:top w:val="none" w:sz="0" w:space="0" w:color="auto"/>
                                        <w:left w:val="none" w:sz="0" w:space="0" w:color="auto"/>
                                        <w:bottom w:val="none" w:sz="0" w:space="0" w:color="auto"/>
                                        <w:right w:val="none" w:sz="0" w:space="0" w:color="auto"/>
                                      </w:divBdr>
                                      <w:divsChild>
                                        <w:div w:id="391274943">
                                          <w:marLeft w:val="0"/>
                                          <w:marRight w:val="0"/>
                                          <w:marTop w:val="0"/>
                                          <w:marBottom w:val="0"/>
                                          <w:divBdr>
                                            <w:top w:val="none" w:sz="0" w:space="0" w:color="auto"/>
                                            <w:left w:val="none" w:sz="0" w:space="0" w:color="auto"/>
                                            <w:bottom w:val="none" w:sz="0" w:space="0" w:color="auto"/>
                                            <w:right w:val="none" w:sz="0" w:space="0" w:color="auto"/>
                                          </w:divBdr>
                                          <w:divsChild>
                                            <w:div w:id="87157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214797">
      <w:bodyDiv w:val="1"/>
      <w:marLeft w:val="0"/>
      <w:marRight w:val="0"/>
      <w:marTop w:val="0"/>
      <w:marBottom w:val="0"/>
      <w:divBdr>
        <w:top w:val="none" w:sz="0" w:space="0" w:color="auto"/>
        <w:left w:val="none" w:sz="0" w:space="0" w:color="auto"/>
        <w:bottom w:val="none" w:sz="0" w:space="0" w:color="auto"/>
        <w:right w:val="none" w:sz="0" w:space="0" w:color="auto"/>
      </w:divBdr>
      <w:divsChild>
        <w:div w:id="80613670">
          <w:marLeft w:val="0"/>
          <w:marRight w:val="0"/>
          <w:marTop w:val="0"/>
          <w:marBottom w:val="0"/>
          <w:divBdr>
            <w:top w:val="none" w:sz="0" w:space="0" w:color="auto"/>
            <w:left w:val="none" w:sz="0" w:space="0" w:color="auto"/>
            <w:bottom w:val="none" w:sz="0" w:space="0" w:color="auto"/>
            <w:right w:val="none" w:sz="0" w:space="0" w:color="auto"/>
          </w:divBdr>
          <w:divsChild>
            <w:div w:id="768162133">
              <w:marLeft w:val="0"/>
              <w:marRight w:val="0"/>
              <w:marTop w:val="0"/>
              <w:marBottom w:val="0"/>
              <w:divBdr>
                <w:top w:val="none" w:sz="0" w:space="0" w:color="auto"/>
                <w:left w:val="none" w:sz="0" w:space="0" w:color="auto"/>
                <w:bottom w:val="none" w:sz="0" w:space="0" w:color="auto"/>
                <w:right w:val="none" w:sz="0" w:space="0" w:color="auto"/>
              </w:divBdr>
            </w:div>
            <w:div w:id="418523176">
              <w:marLeft w:val="0"/>
              <w:marRight w:val="0"/>
              <w:marTop w:val="0"/>
              <w:marBottom w:val="0"/>
              <w:divBdr>
                <w:top w:val="none" w:sz="0" w:space="0" w:color="auto"/>
                <w:left w:val="none" w:sz="0" w:space="0" w:color="auto"/>
                <w:bottom w:val="none" w:sz="0" w:space="0" w:color="auto"/>
                <w:right w:val="none" w:sz="0" w:space="0" w:color="auto"/>
              </w:divBdr>
            </w:div>
            <w:div w:id="436490398">
              <w:marLeft w:val="0"/>
              <w:marRight w:val="0"/>
              <w:marTop w:val="0"/>
              <w:marBottom w:val="0"/>
              <w:divBdr>
                <w:top w:val="none" w:sz="0" w:space="0" w:color="auto"/>
                <w:left w:val="none" w:sz="0" w:space="0" w:color="auto"/>
                <w:bottom w:val="none" w:sz="0" w:space="0" w:color="auto"/>
                <w:right w:val="none" w:sz="0" w:space="0" w:color="auto"/>
              </w:divBdr>
            </w:div>
            <w:div w:id="1384865012">
              <w:marLeft w:val="0"/>
              <w:marRight w:val="0"/>
              <w:marTop w:val="0"/>
              <w:marBottom w:val="0"/>
              <w:divBdr>
                <w:top w:val="none" w:sz="0" w:space="0" w:color="auto"/>
                <w:left w:val="none" w:sz="0" w:space="0" w:color="auto"/>
                <w:bottom w:val="none" w:sz="0" w:space="0" w:color="auto"/>
                <w:right w:val="none" w:sz="0" w:space="0" w:color="auto"/>
              </w:divBdr>
            </w:div>
            <w:div w:id="622611245">
              <w:marLeft w:val="0"/>
              <w:marRight w:val="0"/>
              <w:marTop w:val="0"/>
              <w:marBottom w:val="0"/>
              <w:divBdr>
                <w:top w:val="none" w:sz="0" w:space="0" w:color="auto"/>
                <w:left w:val="none" w:sz="0" w:space="0" w:color="auto"/>
                <w:bottom w:val="none" w:sz="0" w:space="0" w:color="auto"/>
                <w:right w:val="none" w:sz="0" w:space="0" w:color="auto"/>
              </w:divBdr>
            </w:div>
            <w:div w:id="159122382">
              <w:marLeft w:val="0"/>
              <w:marRight w:val="0"/>
              <w:marTop w:val="0"/>
              <w:marBottom w:val="0"/>
              <w:divBdr>
                <w:top w:val="none" w:sz="0" w:space="0" w:color="auto"/>
                <w:left w:val="none" w:sz="0" w:space="0" w:color="auto"/>
                <w:bottom w:val="none" w:sz="0" w:space="0" w:color="auto"/>
                <w:right w:val="none" w:sz="0" w:space="0" w:color="auto"/>
              </w:divBdr>
            </w:div>
            <w:div w:id="235866162">
              <w:marLeft w:val="0"/>
              <w:marRight w:val="0"/>
              <w:marTop w:val="0"/>
              <w:marBottom w:val="0"/>
              <w:divBdr>
                <w:top w:val="none" w:sz="0" w:space="0" w:color="auto"/>
                <w:left w:val="none" w:sz="0" w:space="0" w:color="auto"/>
                <w:bottom w:val="none" w:sz="0" w:space="0" w:color="auto"/>
                <w:right w:val="none" w:sz="0" w:space="0" w:color="auto"/>
              </w:divBdr>
            </w:div>
            <w:div w:id="47654444">
              <w:marLeft w:val="0"/>
              <w:marRight w:val="0"/>
              <w:marTop w:val="0"/>
              <w:marBottom w:val="0"/>
              <w:divBdr>
                <w:top w:val="none" w:sz="0" w:space="0" w:color="auto"/>
                <w:left w:val="none" w:sz="0" w:space="0" w:color="auto"/>
                <w:bottom w:val="none" w:sz="0" w:space="0" w:color="auto"/>
                <w:right w:val="none" w:sz="0" w:space="0" w:color="auto"/>
              </w:divBdr>
            </w:div>
          </w:divsChild>
        </w:div>
        <w:div w:id="1148590362">
          <w:marLeft w:val="0"/>
          <w:marRight w:val="0"/>
          <w:marTop w:val="0"/>
          <w:marBottom w:val="0"/>
          <w:divBdr>
            <w:top w:val="none" w:sz="0" w:space="0" w:color="auto"/>
            <w:left w:val="none" w:sz="0" w:space="0" w:color="auto"/>
            <w:bottom w:val="none" w:sz="0" w:space="0" w:color="auto"/>
            <w:right w:val="none" w:sz="0" w:space="0" w:color="auto"/>
          </w:divBdr>
          <w:divsChild>
            <w:div w:id="796752379">
              <w:marLeft w:val="0"/>
              <w:marRight w:val="0"/>
              <w:marTop w:val="0"/>
              <w:marBottom w:val="0"/>
              <w:divBdr>
                <w:top w:val="none" w:sz="0" w:space="0" w:color="auto"/>
                <w:left w:val="none" w:sz="0" w:space="0" w:color="auto"/>
                <w:bottom w:val="none" w:sz="0" w:space="0" w:color="auto"/>
                <w:right w:val="none" w:sz="0" w:space="0" w:color="auto"/>
              </w:divBdr>
            </w:div>
          </w:divsChild>
        </w:div>
        <w:div w:id="2034307754">
          <w:marLeft w:val="0"/>
          <w:marRight w:val="0"/>
          <w:marTop w:val="0"/>
          <w:marBottom w:val="0"/>
          <w:divBdr>
            <w:top w:val="none" w:sz="0" w:space="0" w:color="auto"/>
            <w:left w:val="none" w:sz="0" w:space="0" w:color="auto"/>
            <w:bottom w:val="none" w:sz="0" w:space="0" w:color="auto"/>
            <w:right w:val="none" w:sz="0" w:space="0" w:color="auto"/>
          </w:divBdr>
          <w:divsChild>
            <w:div w:id="1046954285">
              <w:marLeft w:val="0"/>
              <w:marRight w:val="0"/>
              <w:marTop w:val="0"/>
              <w:marBottom w:val="0"/>
              <w:divBdr>
                <w:top w:val="none" w:sz="0" w:space="0" w:color="auto"/>
                <w:left w:val="none" w:sz="0" w:space="0" w:color="auto"/>
                <w:bottom w:val="none" w:sz="0" w:space="0" w:color="auto"/>
                <w:right w:val="none" w:sz="0" w:space="0" w:color="auto"/>
              </w:divBdr>
              <w:divsChild>
                <w:div w:id="61579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a.gov/" TargetMode="External"/><Relationship Id="rId13" Type="http://schemas.openxmlformats.org/officeDocument/2006/relationships/hyperlink" Target="https://www.oecd.org/" TargetMode="External"/><Relationship Id="rId3" Type="http://schemas.openxmlformats.org/officeDocument/2006/relationships/settings" Target="settings.xml"/><Relationship Id="rId7" Type="http://schemas.openxmlformats.org/officeDocument/2006/relationships/hyperlink" Target="https://projects.propublica.org/bailout/" TargetMode="External"/><Relationship Id="rId12" Type="http://schemas.openxmlformats.org/officeDocument/2006/relationships/hyperlink" Target="https://fcic.law.stanford.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congress.gov/bill/111th-congress/house-bill/1/text" TargetMode="External"/><Relationship Id="rId11" Type="http://schemas.openxmlformats.org/officeDocument/2006/relationships/hyperlink" Target="https://fred.stlouisfed.org/" TargetMode="External"/><Relationship Id="rId5" Type="http://schemas.openxmlformats.org/officeDocument/2006/relationships/hyperlink" Target="https://library.phoenix.edu/ECO535r1/w4" TargetMode="External"/><Relationship Id="rId15" Type="http://schemas.openxmlformats.org/officeDocument/2006/relationships/hyperlink" Target="https://www.census.gov/" TargetMode="External"/><Relationship Id="rId10" Type="http://schemas.openxmlformats.org/officeDocument/2006/relationships/hyperlink" Target="https://www.frbsf.org/" TargetMode="External"/><Relationship Id="rId4" Type="http://schemas.openxmlformats.org/officeDocument/2006/relationships/webSettings" Target="webSettings.xml"/><Relationship Id="rId9" Type="http://schemas.openxmlformats.org/officeDocument/2006/relationships/hyperlink" Target="https://www.congress.gov/110/plaws/publ343/PLAW-110publ343.pdf" TargetMode="External"/><Relationship Id="rId14" Type="http://schemas.openxmlformats.org/officeDocument/2006/relationships/hyperlink" Target="https://library.phoenix.edu/us_bureau_of_labor_statis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1813</TotalTime>
  <Pages>2</Pages>
  <Words>544</Words>
  <Characters>3106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Kiana Hartman</dc:creator>
  <cp:keywords/>
  <dc:description/>
  <cp:lastModifiedBy>Kiana Hartman</cp:lastModifiedBy>
  <cp:revision>1</cp:revision>
  <dcterms:created xsi:type="dcterms:W3CDTF">2020-09-15T16:27:00Z</dcterms:created>
  <dcterms:modified xsi:type="dcterms:W3CDTF">2020-09-18T23:01:00Z</dcterms:modified>
</cp:coreProperties>
</file>