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00"/>
          <w:vertAlign w:val="baseline"/>
        </w:rPr>
      </w:pPr>
      <w:r w:rsidDel="00000000" w:rsidR="00000000" w:rsidRPr="00000000">
        <w:rPr>
          <w:rtl w:val="0"/>
        </w:rPr>
      </w:r>
    </w:p>
    <w:p w:rsidR="00000000" w:rsidDel="00000000" w:rsidP="00000000" w:rsidRDefault="00000000" w:rsidRPr="00000000" w14:paraId="00000002">
      <w:pPr>
        <w:rPr>
          <w:color w:val="000000"/>
          <w:vertAlign w:val="baseline"/>
        </w:rPr>
      </w:pPr>
      <w:r w:rsidDel="00000000" w:rsidR="00000000" w:rsidRPr="00000000">
        <w:rPr>
          <w:rtl w:val="0"/>
        </w:rPr>
      </w:r>
    </w:p>
    <w:p w:rsidR="00000000" w:rsidDel="00000000" w:rsidP="00000000" w:rsidRDefault="00000000" w:rsidRPr="00000000" w14:paraId="00000003">
      <w:pPr>
        <w:rPr>
          <w:color w:val="000000"/>
          <w:vertAlign w:val="baseline"/>
        </w:rPr>
      </w:pPr>
      <w:r w:rsidDel="00000000" w:rsidR="00000000" w:rsidRPr="00000000">
        <w:rPr>
          <w:rtl w:val="0"/>
        </w:rPr>
      </w:r>
    </w:p>
    <w:p w:rsidR="00000000" w:rsidDel="00000000" w:rsidP="00000000" w:rsidRDefault="00000000" w:rsidRPr="00000000" w14:paraId="00000004">
      <w:pPr>
        <w:rPr>
          <w:color w:val="000000"/>
          <w:vertAlign w:val="baseline"/>
        </w:rPr>
      </w:pPr>
      <w:r w:rsidDel="00000000" w:rsidR="00000000" w:rsidRPr="00000000">
        <w:rPr>
          <w:rtl w:val="0"/>
        </w:rPr>
      </w:r>
    </w:p>
    <w:p w:rsidR="00000000" w:rsidDel="00000000" w:rsidP="00000000" w:rsidRDefault="00000000" w:rsidRPr="00000000" w14:paraId="00000005">
      <w:pPr>
        <w:rPr>
          <w:color w:val="000000"/>
          <w:vertAlign w:val="baseline"/>
        </w:rPr>
      </w:pPr>
      <w:r w:rsidDel="00000000" w:rsidR="00000000" w:rsidRPr="00000000">
        <w:rPr>
          <w:rtl w:val="0"/>
        </w:rPr>
      </w:r>
    </w:p>
    <w:p w:rsidR="00000000" w:rsidDel="00000000" w:rsidP="00000000" w:rsidRDefault="00000000" w:rsidRPr="00000000" w14:paraId="00000006">
      <w:pPr>
        <w:rPr>
          <w:color w:val="000000"/>
          <w:vertAlign w:val="baseline"/>
        </w:rPr>
      </w:pPr>
      <w:r w:rsidDel="00000000" w:rsidR="00000000" w:rsidRPr="00000000">
        <w:rPr>
          <w:rtl w:val="0"/>
        </w:rPr>
      </w:r>
    </w:p>
    <w:p w:rsidR="00000000" w:rsidDel="00000000" w:rsidP="00000000" w:rsidRDefault="00000000" w:rsidRPr="00000000" w14:paraId="00000007">
      <w:pPr>
        <w:rPr>
          <w:color w:val="000000"/>
          <w:vertAlign w:val="baseline"/>
        </w:rPr>
      </w:pPr>
      <w:r w:rsidDel="00000000" w:rsidR="00000000" w:rsidRPr="00000000">
        <w:rPr>
          <w:rtl w:val="0"/>
        </w:rPr>
      </w:r>
    </w:p>
    <w:p w:rsidR="00000000" w:rsidDel="00000000" w:rsidP="00000000" w:rsidRDefault="00000000" w:rsidRPr="00000000" w14:paraId="00000008">
      <w:pPr>
        <w:spacing w:after="0" w:line="480" w:lineRule="auto"/>
        <w:rPr>
          <w:color w:val="000000"/>
          <w:vertAlign w:val="baseline"/>
        </w:rPr>
      </w:pPr>
      <w:r w:rsidDel="00000000" w:rsidR="00000000" w:rsidRPr="00000000">
        <w:rPr>
          <w:rtl w:val="0"/>
        </w:rPr>
      </w:r>
    </w:p>
    <w:p w:rsidR="00000000" w:rsidDel="00000000" w:rsidP="00000000" w:rsidRDefault="00000000" w:rsidRPr="00000000" w14:paraId="00000009">
      <w:pPr>
        <w:spacing w:after="0" w:line="480" w:lineRule="auto"/>
        <w:rPr>
          <w:color w:val="000000"/>
          <w:vertAlign w:val="baseline"/>
        </w:rPr>
      </w:pPr>
      <w:r w:rsidDel="00000000" w:rsidR="00000000" w:rsidRPr="00000000">
        <w:rPr>
          <w:rtl w:val="0"/>
        </w:rPr>
      </w:r>
    </w:p>
    <w:p w:rsidR="00000000" w:rsidDel="00000000" w:rsidP="00000000" w:rsidRDefault="00000000" w:rsidRPr="00000000" w14:paraId="0000000A">
      <w:pPr>
        <w:spacing w:after="0" w:line="480" w:lineRule="auto"/>
        <w:rPr>
          <w:color w:val="000000"/>
          <w:vertAlign w:val="baseline"/>
        </w:rPr>
      </w:pPr>
      <w:r w:rsidDel="00000000" w:rsidR="00000000" w:rsidRPr="00000000">
        <w:rPr>
          <w:rtl w:val="0"/>
        </w:rPr>
      </w:r>
    </w:p>
    <w:p w:rsidR="00000000" w:rsidDel="00000000" w:rsidP="00000000" w:rsidRDefault="00000000" w:rsidRPr="00000000" w14:paraId="0000000B">
      <w:pPr>
        <w:spacing w:after="0" w:line="480" w:lineRule="auto"/>
        <w:jc w:val="center"/>
        <w:rPr>
          <w:color w:val="000000"/>
          <w:highlight w:val="white"/>
          <w:vertAlign w:val="baseline"/>
        </w:rPr>
      </w:pPr>
      <w:r w:rsidDel="00000000" w:rsidR="00000000" w:rsidRPr="00000000">
        <w:rPr>
          <w:highlight w:val="white"/>
          <w:vertAlign w:val="baseline"/>
          <w:rtl w:val="0"/>
        </w:rPr>
        <w:t xml:space="preserve">Coca-Cola (KO) and PepsiCo (PEP)</w:t>
      </w:r>
      <w:r w:rsidDel="00000000" w:rsidR="00000000" w:rsidRPr="00000000">
        <w:rPr>
          <w:rtl w:val="0"/>
        </w:rPr>
      </w:r>
    </w:p>
    <w:p w:rsidR="00000000" w:rsidDel="00000000" w:rsidP="00000000" w:rsidRDefault="00000000" w:rsidRPr="00000000" w14:paraId="0000000C">
      <w:pPr>
        <w:spacing w:after="0" w:line="480" w:lineRule="auto"/>
        <w:jc w:val="center"/>
        <w:rPr>
          <w:color w:val="000000"/>
          <w:vertAlign w:val="baseline"/>
        </w:rPr>
      </w:pPr>
      <w:r w:rsidDel="00000000" w:rsidR="00000000" w:rsidRPr="00000000">
        <w:rPr>
          <w:rtl w:val="0"/>
        </w:rPr>
        <w:t xml:space="preserve">Erin Murray</w:t>
      </w:r>
      <w:r w:rsidDel="00000000" w:rsidR="00000000" w:rsidRPr="00000000">
        <w:rPr>
          <w:rtl w:val="0"/>
        </w:rPr>
      </w:r>
    </w:p>
    <w:p w:rsidR="00000000" w:rsidDel="00000000" w:rsidP="00000000" w:rsidRDefault="00000000" w:rsidRPr="00000000" w14:paraId="0000000D">
      <w:pPr>
        <w:spacing w:after="0" w:line="480" w:lineRule="auto"/>
        <w:jc w:val="center"/>
        <w:rPr>
          <w:color w:val="000000"/>
          <w:vertAlign w:val="baseline"/>
        </w:rPr>
      </w:pPr>
      <w:r w:rsidDel="00000000" w:rsidR="00000000" w:rsidRPr="00000000">
        <w:rPr>
          <w:rtl w:val="0"/>
        </w:rPr>
        <w:t xml:space="preserve">Grand Canyon University</w:t>
      </w:r>
      <w:r w:rsidDel="00000000" w:rsidR="00000000" w:rsidRPr="00000000">
        <w:rPr>
          <w:rtl w:val="0"/>
        </w:rPr>
      </w:r>
    </w:p>
    <w:p w:rsidR="00000000" w:rsidDel="00000000" w:rsidP="00000000" w:rsidRDefault="00000000" w:rsidRPr="00000000" w14:paraId="0000000E">
      <w:pPr>
        <w:spacing w:after="0" w:line="480" w:lineRule="auto"/>
        <w:jc w:val="center"/>
        <w:rPr>
          <w:color w:val="000000"/>
          <w:vertAlign w:val="baseline"/>
        </w:rPr>
      </w:pPr>
      <w:r w:rsidDel="00000000" w:rsidR="00000000" w:rsidRPr="00000000">
        <w:rPr>
          <w:rtl w:val="0"/>
        </w:rPr>
        <w:t xml:space="preserve">Financial Decision Making</w:t>
      </w:r>
      <w:r w:rsidDel="00000000" w:rsidR="00000000" w:rsidRPr="00000000">
        <w:rPr>
          <w:rtl w:val="0"/>
        </w:rPr>
      </w:r>
    </w:p>
    <w:p w:rsidR="00000000" w:rsidDel="00000000" w:rsidP="00000000" w:rsidRDefault="00000000" w:rsidRPr="00000000" w14:paraId="0000000F">
      <w:pPr>
        <w:spacing w:after="0" w:line="480" w:lineRule="auto"/>
        <w:jc w:val="center"/>
        <w:rPr>
          <w:color w:val="000000"/>
          <w:vertAlign w:val="baseline"/>
        </w:rPr>
      </w:pPr>
      <w:r w:rsidDel="00000000" w:rsidR="00000000" w:rsidRPr="00000000">
        <w:rPr>
          <w:rtl w:val="0"/>
        </w:rPr>
        <w:t xml:space="preserve">Brenda Forde</w:t>
      </w:r>
      <w:r w:rsidDel="00000000" w:rsidR="00000000" w:rsidRPr="00000000">
        <w:rPr>
          <w:rtl w:val="0"/>
        </w:rPr>
      </w:r>
    </w:p>
    <w:p w:rsidR="00000000" w:rsidDel="00000000" w:rsidP="00000000" w:rsidRDefault="00000000" w:rsidRPr="00000000" w14:paraId="00000010">
      <w:pPr>
        <w:spacing w:after="0" w:line="480" w:lineRule="auto"/>
        <w:jc w:val="center"/>
        <w:rPr>
          <w:color w:val="000000"/>
          <w:vertAlign w:val="baseline"/>
        </w:rPr>
      </w:pPr>
      <w:r w:rsidDel="00000000" w:rsidR="00000000" w:rsidRPr="00000000">
        <w:rPr>
          <w:rtl w:val="0"/>
        </w:rPr>
        <w:t xml:space="preserve">August 14, 2020</w:t>
      </w:r>
      <w:r w:rsidDel="00000000" w:rsidR="00000000" w:rsidRPr="00000000">
        <w:rPr>
          <w:rtl w:val="0"/>
        </w:rPr>
      </w:r>
    </w:p>
    <w:p w:rsidR="00000000" w:rsidDel="00000000" w:rsidP="00000000" w:rsidRDefault="00000000" w:rsidRPr="00000000" w14:paraId="00000011">
      <w:pPr>
        <w:spacing w:after="0" w:line="480" w:lineRule="auto"/>
        <w:jc w:val="center"/>
        <w:rPr>
          <w:color w:val="000000"/>
          <w:vertAlign w:val="baseline"/>
        </w:rPr>
      </w:pPr>
      <w:r w:rsidDel="00000000" w:rsidR="00000000" w:rsidRPr="00000000">
        <w:rPr>
          <w:rtl w:val="0"/>
        </w:rPr>
      </w:r>
    </w:p>
    <w:p w:rsidR="00000000" w:rsidDel="00000000" w:rsidP="00000000" w:rsidRDefault="00000000" w:rsidRPr="00000000" w14:paraId="00000012">
      <w:pPr>
        <w:spacing w:after="0" w:line="480" w:lineRule="auto"/>
        <w:jc w:val="center"/>
        <w:rPr>
          <w:color w:val="000000"/>
          <w:vertAlign w:val="baseline"/>
        </w:rPr>
      </w:pPr>
      <w:r w:rsidDel="00000000" w:rsidR="00000000" w:rsidRPr="00000000">
        <w:rPr>
          <w:rtl w:val="0"/>
        </w:rPr>
      </w:r>
    </w:p>
    <w:p w:rsidR="00000000" w:rsidDel="00000000" w:rsidP="00000000" w:rsidRDefault="00000000" w:rsidRPr="00000000" w14:paraId="00000013">
      <w:pPr>
        <w:jc w:val="center"/>
        <w:rPr>
          <w:color w:val="000000"/>
          <w:vertAlign w:val="baseline"/>
        </w:rPr>
      </w:pPr>
      <w:r w:rsidDel="00000000" w:rsidR="00000000" w:rsidRPr="00000000">
        <w:rPr>
          <w:rtl w:val="0"/>
        </w:rPr>
      </w:r>
    </w:p>
    <w:p w:rsidR="00000000" w:rsidDel="00000000" w:rsidP="00000000" w:rsidRDefault="00000000" w:rsidRPr="00000000" w14:paraId="00000014">
      <w:pPr>
        <w:jc w:val="center"/>
        <w:rPr>
          <w:color w:val="000000"/>
          <w:vertAlign w:val="baseline"/>
        </w:rPr>
      </w:pPr>
      <w:r w:rsidDel="00000000" w:rsidR="00000000" w:rsidRPr="00000000">
        <w:rPr>
          <w:rtl w:val="0"/>
        </w:rPr>
      </w:r>
    </w:p>
    <w:p w:rsidR="00000000" w:rsidDel="00000000" w:rsidP="00000000" w:rsidRDefault="00000000" w:rsidRPr="00000000" w14:paraId="00000015">
      <w:pPr>
        <w:jc w:val="center"/>
        <w:rPr>
          <w:color w:val="000000"/>
          <w:vertAlign w:val="baseline"/>
        </w:rPr>
      </w:pPr>
      <w:r w:rsidDel="00000000" w:rsidR="00000000" w:rsidRPr="00000000">
        <w:rPr>
          <w:rtl w:val="0"/>
        </w:rPr>
      </w:r>
    </w:p>
    <w:p w:rsidR="00000000" w:rsidDel="00000000" w:rsidP="00000000" w:rsidRDefault="00000000" w:rsidRPr="00000000" w14:paraId="00000016">
      <w:pPr>
        <w:jc w:val="center"/>
        <w:rPr>
          <w:color w:val="000000"/>
          <w:vertAlign w:val="baseline"/>
        </w:rPr>
      </w:pPr>
      <w:r w:rsidDel="00000000" w:rsidR="00000000" w:rsidRPr="00000000">
        <w:rPr>
          <w:rtl w:val="0"/>
        </w:rPr>
      </w:r>
    </w:p>
    <w:p w:rsidR="00000000" w:rsidDel="00000000" w:rsidP="00000000" w:rsidRDefault="00000000" w:rsidRPr="00000000" w14:paraId="00000017">
      <w:pPr>
        <w:jc w:val="center"/>
        <w:rPr>
          <w:color w:val="000000"/>
          <w:vertAlign w:val="baseline"/>
        </w:rPr>
      </w:pPr>
      <w:r w:rsidDel="00000000" w:rsidR="00000000" w:rsidRPr="00000000">
        <w:rPr>
          <w:rtl w:val="0"/>
        </w:rPr>
      </w:r>
    </w:p>
    <w:p w:rsidR="00000000" w:rsidDel="00000000" w:rsidP="00000000" w:rsidRDefault="00000000" w:rsidRPr="00000000" w14:paraId="00000018">
      <w:pPr>
        <w:jc w:val="center"/>
        <w:rPr>
          <w:color w:val="000000"/>
          <w:vertAlign w:val="baseline"/>
        </w:rPr>
      </w:pPr>
      <w:r w:rsidDel="00000000" w:rsidR="00000000" w:rsidRPr="00000000">
        <w:rPr>
          <w:rtl w:val="0"/>
        </w:rPr>
      </w:r>
    </w:p>
    <w:p w:rsidR="00000000" w:rsidDel="00000000" w:rsidP="00000000" w:rsidRDefault="00000000" w:rsidRPr="00000000" w14:paraId="00000019">
      <w:pPr>
        <w:spacing w:after="0" w:line="480" w:lineRule="auto"/>
        <w:jc w:val="center"/>
        <w:rPr>
          <w:highlight w:val="white"/>
          <w:vertAlign w:val="baseline"/>
        </w:rPr>
      </w:pPr>
      <w:r w:rsidDel="00000000" w:rsidR="00000000" w:rsidRPr="00000000">
        <w:rPr>
          <w:highlight w:val="white"/>
          <w:vertAlign w:val="baseline"/>
          <w:rtl w:val="0"/>
        </w:rPr>
        <w:t xml:space="preserve">Coca-Cola (KO) and PepsiCo (PEP)</w:t>
      </w:r>
    </w:p>
    <w:p w:rsidR="00000000" w:rsidDel="00000000" w:rsidP="00000000" w:rsidRDefault="00000000" w:rsidRPr="00000000" w14:paraId="0000001A">
      <w:pPr>
        <w:spacing w:after="0" w:line="480" w:lineRule="auto"/>
        <w:jc w:val="center"/>
        <w:rPr>
          <w:b w:val="0"/>
          <w:highlight w:val="white"/>
          <w:vertAlign w:val="baseline"/>
        </w:rPr>
      </w:pPr>
      <w:r w:rsidDel="00000000" w:rsidR="00000000" w:rsidRPr="00000000">
        <w:rPr>
          <w:b w:val="1"/>
          <w:highlight w:val="white"/>
          <w:vertAlign w:val="baseline"/>
          <w:rtl w:val="0"/>
        </w:rPr>
        <w:t xml:space="preserve">Introduction </w:t>
      </w:r>
      <w:r w:rsidDel="00000000" w:rsidR="00000000" w:rsidRPr="00000000">
        <w:rPr>
          <w:rtl w:val="0"/>
        </w:rPr>
      </w:r>
    </w:p>
    <w:p w:rsidR="00000000" w:rsidDel="00000000" w:rsidP="00000000" w:rsidRDefault="00000000" w:rsidRPr="00000000" w14:paraId="0000001B">
      <w:pPr>
        <w:spacing w:after="0" w:line="480" w:lineRule="auto"/>
        <w:ind w:firstLine="720"/>
        <w:rPr>
          <w:highlight w:val="white"/>
          <w:vertAlign w:val="baseline"/>
        </w:rPr>
      </w:pPr>
      <w:r w:rsidDel="00000000" w:rsidR="00000000" w:rsidRPr="00000000">
        <w:rPr>
          <w:highlight w:val="white"/>
          <w:vertAlign w:val="baseline"/>
          <w:rtl w:val="0"/>
        </w:rPr>
        <w:t xml:space="preserve">Both companies operate in the beverage industry. For decades, they have been the closest rivals. Coca-Cola, which offers more than 500 brands, operates in nearly two hundred countries around the globe. Coke's product collection includes some of the most valued drinks and brands in the world. This firm is regularly transforming its product portfolio, from decreasing the levels of sugars in its drinks to creating innovative new items to the market. It has also strived to reduce its ecological impact by replacing and encouraging recycling. On its part, PepsiCo is recognized for its excellent brands. It is the second leading beverage firm after Coca-Cola. For more than 50 years, this company has severed various markets across the world. While these two organizations continue to engage in fierce wars, this paper compares their performance and assesses, in which one provides the highest returns to its stockholders. </w:t>
      </w:r>
    </w:p>
    <w:p w:rsidR="00000000" w:rsidDel="00000000" w:rsidP="00000000" w:rsidRDefault="00000000" w:rsidRPr="00000000" w14:paraId="0000001C">
      <w:pPr>
        <w:spacing w:after="0" w:line="480" w:lineRule="auto"/>
        <w:jc w:val="center"/>
        <w:rPr>
          <w:b w:val="0"/>
          <w:highlight w:val="white"/>
          <w:vertAlign w:val="baseline"/>
        </w:rPr>
      </w:pPr>
      <w:r w:rsidDel="00000000" w:rsidR="00000000" w:rsidRPr="00000000">
        <w:rPr>
          <w:b w:val="1"/>
          <w:highlight w:val="white"/>
          <w:vertAlign w:val="baseline"/>
          <w:rtl w:val="0"/>
        </w:rPr>
        <w:t xml:space="preserve">Firms' Liquidity Relative to Industry Averages</w:t>
      </w:r>
      <w:r w:rsidDel="00000000" w:rsidR="00000000" w:rsidRPr="00000000">
        <w:rPr>
          <w:rtl w:val="0"/>
        </w:rPr>
      </w:r>
    </w:p>
    <w:p w:rsidR="00000000" w:rsidDel="00000000" w:rsidP="00000000" w:rsidRDefault="00000000" w:rsidRPr="00000000" w14:paraId="0000001D">
      <w:pPr>
        <w:spacing w:after="0" w:line="480" w:lineRule="auto"/>
        <w:ind w:firstLine="720"/>
        <w:rPr>
          <w:highlight w:val="white"/>
          <w:vertAlign w:val="baseline"/>
        </w:rPr>
      </w:pPr>
      <w:r w:rsidDel="00000000" w:rsidR="00000000" w:rsidRPr="00000000">
        <w:rPr>
          <w:highlight w:val="white"/>
          <w:vertAlign w:val="baseline"/>
          <w:rtl w:val="0"/>
        </w:rPr>
        <w:t xml:space="preserve">Liquidity for firms often denotes to the business' capacity to utilize their current assets to meet its obligations. The current ratio is one of the liquidity analyses that measure a business's ability to meet its current and short-term obligations (Agusta, &amp; Hati, 2018). The other measure is the quick ratio, which measures a business's ability to use its near cash, also known as quick assets, to quench its liabilities (Agusta, &amp; Hati, 2018).  The following table compares the quick and current ratios of Coca-Cola and PepsiCo.  </w:t>
      </w:r>
    </w:p>
    <w:tbl>
      <w:tblPr>
        <w:tblStyle w:val="Table1"/>
        <w:tblW w:w="9436.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16"/>
        <w:gridCol w:w="2135"/>
        <w:gridCol w:w="1687"/>
        <w:gridCol w:w="1898"/>
        <w:tblGridChange w:id="0">
          <w:tblGrid>
            <w:gridCol w:w="3716"/>
            <w:gridCol w:w="2135"/>
            <w:gridCol w:w="1687"/>
            <w:gridCol w:w="1898"/>
          </w:tblGrid>
        </w:tblGridChange>
      </w:tblGrid>
      <w:tr>
        <w:trPr>
          <w:trHeight w:val="482" w:hRule="atLeast"/>
        </w:trPr>
        <w:tc>
          <w:tcPr/>
          <w:p w:rsidR="00000000" w:rsidDel="00000000" w:rsidP="00000000" w:rsidRDefault="00000000" w:rsidRPr="00000000" w14:paraId="0000001E">
            <w:pPr>
              <w:spacing w:after="0" w:line="240" w:lineRule="auto"/>
              <w:rPr>
                <w:b w:val="0"/>
                <w:color w:val="000000"/>
                <w:vertAlign w:val="baseline"/>
              </w:rPr>
            </w:pPr>
            <w:r w:rsidDel="00000000" w:rsidR="00000000" w:rsidRPr="00000000">
              <w:rPr>
                <w:b w:val="1"/>
                <w:color w:val="000000"/>
                <w:vertAlign w:val="baseline"/>
                <w:rtl w:val="0"/>
              </w:rPr>
              <w:t xml:space="preserve">Financial Ratios </w:t>
            </w:r>
            <w:r w:rsidDel="00000000" w:rsidR="00000000" w:rsidRPr="00000000">
              <w:rPr>
                <w:rtl w:val="0"/>
              </w:rPr>
            </w:r>
          </w:p>
        </w:tc>
        <w:tc>
          <w:tcPr/>
          <w:p w:rsidR="00000000" w:rsidDel="00000000" w:rsidP="00000000" w:rsidRDefault="00000000" w:rsidRPr="00000000" w14:paraId="0000001F">
            <w:pPr>
              <w:spacing w:after="0" w:line="240" w:lineRule="auto"/>
              <w:jc w:val="right"/>
              <w:rPr>
                <w:b w:val="0"/>
                <w:color w:val="000000"/>
                <w:vertAlign w:val="baseline"/>
              </w:rPr>
            </w:pPr>
            <w:r w:rsidDel="00000000" w:rsidR="00000000" w:rsidRPr="00000000">
              <w:rPr>
                <w:b w:val="1"/>
                <w:color w:val="000000"/>
                <w:vertAlign w:val="baseline"/>
                <w:rtl w:val="0"/>
              </w:rPr>
              <w:t xml:space="preserve">Coca-Cola</w:t>
            </w:r>
            <w:r w:rsidDel="00000000" w:rsidR="00000000" w:rsidRPr="00000000">
              <w:rPr>
                <w:rtl w:val="0"/>
              </w:rPr>
            </w:r>
          </w:p>
        </w:tc>
        <w:tc>
          <w:tcPr/>
          <w:p w:rsidR="00000000" w:rsidDel="00000000" w:rsidP="00000000" w:rsidRDefault="00000000" w:rsidRPr="00000000" w14:paraId="00000020">
            <w:pPr>
              <w:spacing w:after="0" w:line="240" w:lineRule="auto"/>
              <w:jc w:val="right"/>
              <w:rPr>
                <w:b w:val="0"/>
                <w:color w:val="000000"/>
                <w:vertAlign w:val="baseline"/>
              </w:rPr>
            </w:pPr>
            <w:r w:rsidDel="00000000" w:rsidR="00000000" w:rsidRPr="00000000">
              <w:rPr>
                <w:b w:val="1"/>
                <w:color w:val="000000"/>
                <w:vertAlign w:val="baseline"/>
                <w:rtl w:val="0"/>
              </w:rPr>
              <w:t xml:space="preserve">PepsiCo</w:t>
            </w:r>
            <w:r w:rsidDel="00000000" w:rsidR="00000000" w:rsidRPr="00000000">
              <w:rPr>
                <w:rtl w:val="0"/>
              </w:rPr>
            </w:r>
          </w:p>
        </w:tc>
        <w:tc>
          <w:tcPr/>
          <w:p w:rsidR="00000000" w:rsidDel="00000000" w:rsidP="00000000" w:rsidRDefault="00000000" w:rsidRPr="00000000" w14:paraId="00000021">
            <w:pPr>
              <w:spacing w:after="0" w:line="240" w:lineRule="auto"/>
              <w:jc w:val="right"/>
              <w:rPr>
                <w:b w:val="0"/>
                <w:color w:val="000000"/>
                <w:vertAlign w:val="baseline"/>
              </w:rPr>
            </w:pPr>
            <w:r w:rsidDel="00000000" w:rsidR="00000000" w:rsidRPr="00000000">
              <w:rPr>
                <w:b w:val="1"/>
                <w:color w:val="000000"/>
                <w:vertAlign w:val="baseline"/>
                <w:rtl w:val="0"/>
              </w:rPr>
              <w:t xml:space="preserve">Industry </w:t>
            </w:r>
            <w:r w:rsidDel="00000000" w:rsidR="00000000" w:rsidRPr="00000000">
              <w:rPr>
                <w:rtl w:val="0"/>
              </w:rPr>
            </w:r>
          </w:p>
        </w:tc>
      </w:tr>
      <w:tr>
        <w:trPr>
          <w:trHeight w:val="482" w:hRule="atLeast"/>
        </w:trPr>
        <w:tc>
          <w:tcPr/>
          <w:p w:rsidR="00000000" w:rsidDel="00000000" w:rsidP="00000000" w:rsidRDefault="00000000" w:rsidRPr="00000000" w14:paraId="00000022">
            <w:pPr>
              <w:spacing w:after="0" w:line="240" w:lineRule="auto"/>
              <w:rPr>
                <w:color w:val="000000"/>
                <w:vertAlign w:val="baseline"/>
              </w:rPr>
            </w:pPr>
            <w:r w:rsidDel="00000000" w:rsidR="00000000" w:rsidRPr="00000000">
              <w:rPr>
                <w:color w:val="000000"/>
                <w:vertAlign w:val="baseline"/>
                <w:rtl w:val="0"/>
              </w:rPr>
              <w:t xml:space="preserve">Current Ratio</w:t>
            </w:r>
          </w:p>
        </w:tc>
        <w:tc>
          <w:tcPr/>
          <w:p w:rsidR="00000000" w:rsidDel="00000000" w:rsidP="00000000" w:rsidRDefault="00000000" w:rsidRPr="00000000" w14:paraId="00000023">
            <w:pPr>
              <w:spacing w:after="0" w:line="240" w:lineRule="auto"/>
              <w:jc w:val="right"/>
              <w:rPr>
                <w:color w:val="000000"/>
                <w:vertAlign w:val="baseline"/>
              </w:rPr>
            </w:pPr>
            <w:r w:rsidDel="00000000" w:rsidR="00000000" w:rsidRPr="00000000">
              <w:rPr>
                <w:color w:val="000000"/>
                <w:vertAlign w:val="baseline"/>
                <w:rtl w:val="0"/>
              </w:rPr>
              <w:t xml:space="preserve">1.09</w:t>
            </w:r>
          </w:p>
        </w:tc>
        <w:tc>
          <w:tcPr/>
          <w:p w:rsidR="00000000" w:rsidDel="00000000" w:rsidP="00000000" w:rsidRDefault="00000000" w:rsidRPr="00000000" w14:paraId="00000024">
            <w:pPr>
              <w:spacing w:after="0" w:line="240" w:lineRule="auto"/>
              <w:jc w:val="right"/>
              <w:rPr>
                <w:color w:val="000000"/>
                <w:vertAlign w:val="baseline"/>
              </w:rPr>
            </w:pPr>
            <w:r w:rsidDel="00000000" w:rsidR="00000000" w:rsidRPr="00000000">
              <w:rPr>
                <w:color w:val="000000"/>
                <w:vertAlign w:val="baseline"/>
                <w:rtl w:val="0"/>
              </w:rPr>
              <w:t xml:space="preserve">0.97</w:t>
            </w:r>
          </w:p>
        </w:tc>
        <w:tc>
          <w:tcPr/>
          <w:p w:rsidR="00000000" w:rsidDel="00000000" w:rsidP="00000000" w:rsidRDefault="00000000" w:rsidRPr="00000000" w14:paraId="00000025">
            <w:pPr>
              <w:spacing w:after="0" w:line="240" w:lineRule="auto"/>
              <w:jc w:val="right"/>
              <w:rPr>
                <w:color w:val="000000"/>
                <w:vertAlign w:val="baseline"/>
              </w:rPr>
            </w:pPr>
            <w:r w:rsidDel="00000000" w:rsidR="00000000" w:rsidRPr="00000000">
              <w:rPr>
                <w:color w:val="000000"/>
                <w:vertAlign w:val="baseline"/>
                <w:rtl w:val="0"/>
              </w:rPr>
              <w:t xml:space="preserve">1.15</w:t>
            </w:r>
          </w:p>
        </w:tc>
      </w:tr>
      <w:tr>
        <w:trPr>
          <w:trHeight w:val="482" w:hRule="atLeast"/>
        </w:trPr>
        <w:tc>
          <w:tcPr/>
          <w:p w:rsidR="00000000" w:rsidDel="00000000" w:rsidP="00000000" w:rsidRDefault="00000000" w:rsidRPr="00000000" w14:paraId="00000026">
            <w:pPr>
              <w:spacing w:after="0" w:line="240" w:lineRule="auto"/>
              <w:rPr>
                <w:color w:val="000000"/>
                <w:vertAlign w:val="baseline"/>
              </w:rPr>
            </w:pPr>
            <w:r w:rsidDel="00000000" w:rsidR="00000000" w:rsidRPr="00000000">
              <w:rPr>
                <w:color w:val="000000"/>
                <w:vertAlign w:val="baseline"/>
                <w:rtl w:val="0"/>
              </w:rPr>
              <w:t xml:space="preserve">Quick Ratio</w:t>
            </w:r>
          </w:p>
        </w:tc>
        <w:tc>
          <w:tcPr/>
          <w:p w:rsidR="00000000" w:rsidDel="00000000" w:rsidP="00000000" w:rsidRDefault="00000000" w:rsidRPr="00000000" w14:paraId="00000027">
            <w:pPr>
              <w:spacing w:after="0" w:line="240" w:lineRule="auto"/>
              <w:jc w:val="right"/>
              <w:rPr>
                <w:color w:val="000000"/>
                <w:vertAlign w:val="baseline"/>
              </w:rPr>
            </w:pPr>
            <w:r w:rsidDel="00000000" w:rsidR="00000000" w:rsidRPr="00000000">
              <w:rPr>
                <w:color w:val="000000"/>
                <w:vertAlign w:val="baseline"/>
                <w:rtl w:val="0"/>
              </w:rPr>
              <w:t xml:space="preserve">0.63</w:t>
            </w:r>
          </w:p>
        </w:tc>
        <w:tc>
          <w:tcPr/>
          <w:p w:rsidR="00000000" w:rsidDel="00000000" w:rsidP="00000000" w:rsidRDefault="00000000" w:rsidRPr="00000000" w14:paraId="00000028">
            <w:pPr>
              <w:spacing w:after="0" w:line="240" w:lineRule="auto"/>
              <w:jc w:val="right"/>
              <w:rPr>
                <w:color w:val="000000"/>
                <w:vertAlign w:val="baseline"/>
              </w:rPr>
            </w:pPr>
            <w:r w:rsidDel="00000000" w:rsidR="00000000" w:rsidRPr="00000000">
              <w:rPr>
                <w:color w:val="000000"/>
                <w:vertAlign w:val="baseline"/>
                <w:rtl w:val="0"/>
              </w:rPr>
              <w:t xml:space="preserve">0.7</w:t>
            </w:r>
          </w:p>
        </w:tc>
        <w:tc>
          <w:tcPr/>
          <w:p w:rsidR="00000000" w:rsidDel="00000000" w:rsidP="00000000" w:rsidRDefault="00000000" w:rsidRPr="00000000" w14:paraId="00000029">
            <w:pPr>
              <w:spacing w:after="0" w:line="240" w:lineRule="auto"/>
              <w:jc w:val="right"/>
              <w:rPr>
                <w:color w:val="000000"/>
                <w:vertAlign w:val="baseline"/>
              </w:rPr>
            </w:pPr>
            <w:r w:rsidDel="00000000" w:rsidR="00000000" w:rsidRPr="00000000">
              <w:rPr>
                <w:color w:val="000000"/>
                <w:vertAlign w:val="baseline"/>
                <w:rtl w:val="0"/>
              </w:rPr>
              <w:t xml:space="preserve">0.82</w:t>
            </w:r>
          </w:p>
        </w:tc>
      </w:tr>
    </w:tbl>
    <w:p w:rsidR="00000000" w:rsidDel="00000000" w:rsidP="00000000" w:rsidRDefault="00000000" w:rsidRPr="00000000" w14:paraId="0000002A">
      <w:pPr>
        <w:spacing w:after="0" w:line="480" w:lineRule="auto"/>
        <w:rPr>
          <w:highlight w:val="white"/>
          <w:vertAlign w:val="baseline"/>
        </w:rPr>
      </w:pPr>
      <w:r w:rsidDel="00000000" w:rsidR="00000000" w:rsidRPr="00000000">
        <w:rPr>
          <w:highlight w:val="white"/>
          <w:vertAlign w:val="baseline"/>
          <w:rtl w:val="0"/>
        </w:rPr>
        <w:t xml:space="preserve"> </w:t>
      </w:r>
    </w:p>
    <w:p w:rsidR="00000000" w:rsidDel="00000000" w:rsidP="00000000" w:rsidRDefault="00000000" w:rsidRPr="00000000" w14:paraId="0000002B">
      <w:pPr>
        <w:spacing w:after="0" w:line="480" w:lineRule="auto"/>
        <w:ind w:firstLine="720"/>
        <w:rPr>
          <w:highlight w:val="white"/>
          <w:vertAlign w:val="baseline"/>
        </w:rPr>
      </w:pPr>
      <w:r w:rsidDel="00000000" w:rsidR="00000000" w:rsidRPr="00000000">
        <w:rPr>
          <w:rtl w:val="0"/>
        </w:rPr>
      </w:r>
    </w:p>
    <w:p w:rsidR="00000000" w:rsidDel="00000000" w:rsidP="00000000" w:rsidRDefault="00000000" w:rsidRPr="00000000" w14:paraId="0000002C">
      <w:pPr>
        <w:spacing w:after="0" w:line="480" w:lineRule="auto"/>
        <w:ind w:firstLine="720"/>
        <w:rPr>
          <w:highlight w:val="white"/>
          <w:vertAlign w:val="baseline"/>
        </w:rPr>
      </w:pPr>
      <w:r w:rsidDel="00000000" w:rsidR="00000000" w:rsidRPr="00000000">
        <w:rPr>
          <w:highlight w:val="white"/>
          <w:vertAlign w:val="baseline"/>
          <w:rtl w:val="0"/>
        </w:rPr>
        <w:t xml:space="preserve">As shown above, Coca Cola's current and quick ratios were 1.09 and 0.63, respectively (Coca-Cola, 2020). PepsiCo's current and quick ratios stood at 0.97 and 0.7, respectively, over the same period (PepsiCo, 2020). Both the companies' ratios were below the industry average, indicating that both firms have a higher risk of default. Often, a low current ratio value, usually less than one, shows that a business might have difficulties meeting its short-term and current obligations. When assessing the two firms, PepsiCo's current ratio (0.97) is lower than Coca Cola's current ratio (1.09), which means that PepsiCo is struggling to meet its liabilities. On the other hand, Coca Cola's current ratio is more than one, which implies that the firm is performing well and able to meet its liabilities. </w:t>
      </w:r>
    </w:p>
    <w:p w:rsidR="00000000" w:rsidDel="00000000" w:rsidP="00000000" w:rsidRDefault="00000000" w:rsidRPr="00000000" w14:paraId="0000002D">
      <w:pPr>
        <w:spacing w:after="0" w:line="480" w:lineRule="auto"/>
        <w:ind w:firstLine="720"/>
        <w:rPr>
          <w:highlight w:val="white"/>
          <w:vertAlign w:val="baseline"/>
        </w:rPr>
      </w:pPr>
      <w:r w:rsidDel="00000000" w:rsidR="00000000" w:rsidRPr="00000000">
        <w:rPr>
          <w:highlight w:val="white"/>
          <w:vertAlign w:val="baseline"/>
          <w:rtl w:val="0"/>
        </w:rPr>
        <w:t xml:space="preserve">With the quick ratio, both firms' ratios fall below the industry average. According to Agusta and Hati (2018), a lower quick ratio than the industry average means that the business is facing difficulty paying off its debts. While the industry ratio stands at 0.82, Coca Cola's quick ratio is 0.63, and PepsiCo's quick ratio is 0.7. When looking at these two ratios, PepsiCo's business appears to be doing well than Coca Cola. In particular, it means that Coca Cola is doing worse and has a lower ability to cover pay off its debts compared to PepsiCo. </w:t>
      </w:r>
    </w:p>
    <w:p w:rsidR="00000000" w:rsidDel="00000000" w:rsidP="00000000" w:rsidRDefault="00000000" w:rsidRPr="00000000" w14:paraId="0000002E">
      <w:pPr>
        <w:spacing w:after="0" w:line="480" w:lineRule="auto"/>
        <w:ind w:firstLine="720"/>
        <w:rPr>
          <w:highlight w:val="white"/>
        </w:rPr>
      </w:pPr>
      <w:r w:rsidDel="00000000" w:rsidR="00000000" w:rsidRPr="00000000">
        <w:rPr>
          <w:rtl w:val="0"/>
        </w:rPr>
      </w:r>
    </w:p>
    <w:p w:rsidR="00000000" w:rsidDel="00000000" w:rsidP="00000000" w:rsidRDefault="00000000" w:rsidRPr="00000000" w14:paraId="0000002F">
      <w:pPr>
        <w:spacing w:after="0" w:line="480" w:lineRule="auto"/>
        <w:ind w:firstLine="720"/>
        <w:rPr>
          <w:highlight w:val="white"/>
        </w:rPr>
      </w:pPr>
      <w:r w:rsidDel="00000000" w:rsidR="00000000" w:rsidRPr="00000000">
        <w:rPr>
          <w:rtl w:val="0"/>
        </w:rPr>
      </w:r>
    </w:p>
    <w:p w:rsidR="00000000" w:rsidDel="00000000" w:rsidP="00000000" w:rsidRDefault="00000000" w:rsidRPr="00000000" w14:paraId="00000030">
      <w:pPr>
        <w:spacing w:after="0" w:line="480" w:lineRule="auto"/>
        <w:jc w:val="center"/>
        <w:rPr>
          <w:b w:val="0"/>
          <w:highlight w:val="white"/>
          <w:vertAlign w:val="baseline"/>
        </w:rPr>
      </w:pPr>
      <w:r w:rsidDel="00000000" w:rsidR="00000000" w:rsidRPr="00000000">
        <w:rPr>
          <w:b w:val="1"/>
          <w:highlight w:val="white"/>
          <w:vertAlign w:val="baseline"/>
          <w:rtl w:val="0"/>
        </w:rPr>
        <w:t xml:space="preserve">Firms' Solvency Relative to Industry Averages</w:t>
      </w:r>
      <w:r w:rsidDel="00000000" w:rsidR="00000000" w:rsidRPr="00000000">
        <w:rPr>
          <w:rtl w:val="0"/>
        </w:rPr>
      </w:r>
    </w:p>
    <w:p w:rsidR="00000000" w:rsidDel="00000000" w:rsidP="00000000" w:rsidRDefault="00000000" w:rsidRPr="00000000" w14:paraId="00000031">
      <w:pPr>
        <w:spacing w:after="0" w:line="480" w:lineRule="auto"/>
        <w:ind w:firstLine="720"/>
        <w:rPr>
          <w:highlight w:val="white"/>
          <w:vertAlign w:val="baseline"/>
        </w:rPr>
      </w:pPr>
      <w:r w:rsidDel="00000000" w:rsidR="00000000" w:rsidRPr="00000000">
        <w:rPr>
          <w:highlight w:val="white"/>
          <w:vertAlign w:val="baseline"/>
          <w:rtl w:val="0"/>
        </w:rPr>
        <w:t xml:space="preserve">As for Agusta and Hati (2018), solvency refers to a business' state of financial health. In particular, it denotes a firm's ability to meet its long-term obligations. They argue that a Solvent business is one that has less than it owes others. In other words, such a business has a positive net worth and controllable debt commitment. One of the most used solvency ratios is the debt-to-equity ratio (Agusta &amp; Hati, 2018). This ratio measures the extent to which a company utilizes financial advantage. A higher ratio denotes increased interest expenses, which might affect a business' credit rating. Besides, an increasing debt-to-equity ratio can also make it difficult for a business to secure or receive more funds. The next table compares Coca Cola and PepsiCo's debt-to-equity ratios. </w:t>
      </w:r>
    </w:p>
    <w:tbl>
      <w:tblPr>
        <w:tblStyle w:val="Table2"/>
        <w:tblW w:w="9436.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16"/>
        <w:gridCol w:w="2135"/>
        <w:gridCol w:w="1687"/>
        <w:gridCol w:w="1898"/>
        <w:tblGridChange w:id="0">
          <w:tblGrid>
            <w:gridCol w:w="3716"/>
            <w:gridCol w:w="2135"/>
            <w:gridCol w:w="1687"/>
            <w:gridCol w:w="1898"/>
          </w:tblGrid>
        </w:tblGridChange>
      </w:tblGrid>
      <w:tr>
        <w:trPr>
          <w:trHeight w:val="482" w:hRule="atLeast"/>
        </w:trPr>
        <w:tc>
          <w:tcPr/>
          <w:p w:rsidR="00000000" w:rsidDel="00000000" w:rsidP="00000000" w:rsidRDefault="00000000" w:rsidRPr="00000000" w14:paraId="00000032">
            <w:pPr>
              <w:spacing w:after="0" w:line="240" w:lineRule="auto"/>
              <w:rPr>
                <w:b w:val="0"/>
                <w:color w:val="000000"/>
                <w:vertAlign w:val="baseline"/>
              </w:rPr>
            </w:pPr>
            <w:r w:rsidDel="00000000" w:rsidR="00000000" w:rsidRPr="00000000">
              <w:rPr>
                <w:b w:val="1"/>
                <w:color w:val="000000"/>
                <w:vertAlign w:val="baseline"/>
                <w:rtl w:val="0"/>
              </w:rPr>
              <w:t xml:space="preserve">Financial Ratios </w:t>
            </w:r>
            <w:r w:rsidDel="00000000" w:rsidR="00000000" w:rsidRPr="00000000">
              <w:rPr>
                <w:rtl w:val="0"/>
              </w:rPr>
            </w:r>
          </w:p>
        </w:tc>
        <w:tc>
          <w:tcPr/>
          <w:p w:rsidR="00000000" w:rsidDel="00000000" w:rsidP="00000000" w:rsidRDefault="00000000" w:rsidRPr="00000000" w14:paraId="00000033">
            <w:pPr>
              <w:spacing w:after="0" w:line="240" w:lineRule="auto"/>
              <w:jc w:val="right"/>
              <w:rPr>
                <w:b w:val="0"/>
                <w:color w:val="000000"/>
                <w:vertAlign w:val="baseline"/>
              </w:rPr>
            </w:pPr>
            <w:r w:rsidDel="00000000" w:rsidR="00000000" w:rsidRPr="00000000">
              <w:rPr>
                <w:b w:val="1"/>
                <w:color w:val="000000"/>
                <w:vertAlign w:val="baseline"/>
                <w:rtl w:val="0"/>
              </w:rPr>
              <w:t xml:space="preserve">Coca-Cola</w:t>
            </w:r>
            <w:r w:rsidDel="00000000" w:rsidR="00000000" w:rsidRPr="00000000">
              <w:rPr>
                <w:rtl w:val="0"/>
              </w:rPr>
            </w:r>
          </w:p>
        </w:tc>
        <w:tc>
          <w:tcPr/>
          <w:p w:rsidR="00000000" w:rsidDel="00000000" w:rsidP="00000000" w:rsidRDefault="00000000" w:rsidRPr="00000000" w14:paraId="00000034">
            <w:pPr>
              <w:spacing w:after="0" w:line="240" w:lineRule="auto"/>
              <w:jc w:val="right"/>
              <w:rPr>
                <w:b w:val="0"/>
                <w:color w:val="000000"/>
                <w:vertAlign w:val="baseline"/>
              </w:rPr>
            </w:pPr>
            <w:r w:rsidDel="00000000" w:rsidR="00000000" w:rsidRPr="00000000">
              <w:rPr>
                <w:b w:val="1"/>
                <w:color w:val="000000"/>
                <w:vertAlign w:val="baseline"/>
                <w:rtl w:val="0"/>
              </w:rPr>
              <w:t xml:space="preserve">PepsiCo</w:t>
            </w:r>
            <w:r w:rsidDel="00000000" w:rsidR="00000000" w:rsidRPr="00000000">
              <w:rPr>
                <w:rtl w:val="0"/>
              </w:rPr>
            </w:r>
          </w:p>
        </w:tc>
        <w:tc>
          <w:tcPr/>
          <w:p w:rsidR="00000000" w:rsidDel="00000000" w:rsidP="00000000" w:rsidRDefault="00000000" w:rsidRPr="00000000" w14:paraId="00000035">
            <w:pPr>
              <w:spacing w:after="0" w:line="240" w:lineRule="auto"/>
              <w:jc w:val="right"/>
              <w:rPr>
                <w:b w:val="0"/>
                <w:color w:val="000000"/>
                <w:vertAlign w:val="baseline"/>
              </w:rPr>
            </w:pPr>
            <w:r w:rsidDel="00000000" w:rsidR="00000000" w:rsidRPr="00000000">
              <w:rPr>
                <w:b w:val="1"/>
                <w:color w:val="000000"/>
                <w:vertAlign w:val="baseline"/>
                <w:rtl w:val="0"/>
              </w:rPr>
              <w:t xml:space="preserve">Industry </w:t>
            </w:r>
            <w:r w:rsidDel="00000000" w:rsidR="00000000" w:rsidRPr="00000000">
              <w:rPr>
                <w:rtl w:val="0"/>
              </w:rPr>
            </w:r>
          </w:p>
        </w:tc>
      </w:tr>
      <w:tr>
        <w:trPr>
          <w:trHeight w:val="482" w:hRule="atLeast"/>
        </w:trPr>
        <w:tc>
          <w:tcPr/>
          <w:p w:rsidR="00000000" w:rsidDel="00000000" w:rsidP="00000000" w:rsidRDefault="00000000" w:rsidRPr="00000000" w14:paraId="00000036">
            <w:pPr>
              <w:spacing w:after="0" w:line="480" w:lineRule="auto"/>
              <w:rPr>
                <w:color w:val="000000"/>
                <w:vertAlign w:val="baseline"/>
              </w:rPr>
            </w:pPr>
            <w:r w:rsidDel="00000000" w:rsidR="00000000" w:rsidRPr="00000000">
              <w:rPr>
                <w:color w:val="000000"/>
                <w:vertAlign w:val="baseline"/>
                <w:rtl w:val="0"/>
              </w:rPr>
              <w:t xml:space="preserve">Debt-to-equity</w:t>
            </w:r>
          </w:p>
        </w:tc>
        <w:tc>
          <w:tcPr/>
          <w:p w:rsidR="00000000" w:rsidDel="00000000" w:rsidP="00000000" w:rsidRDefault="00000000" w:rsidRPr="00000000" w14:paraId="00000037">
            <w:pPr>
              <w:spacing w:after="0" w:line="480" w:lineRule="auto"/>
              <w:jc w:val="right"/>
              <w:rPr>
                <w:color w:val="000000"/>
                <w:vertAlign w:val="baseline"/>
              </w:rPr>
            </w:pPr>
            <w:r w:rsidDel="00000000" w:rsidR="00000000" w:rsidRPr="00000000">
              <w:rPr>
                <w:color w:val="000000"/>
                <w:vertAlign w:val="baseline"/>
                <w:rtl w:val="0"/>
              </w:rPr>
              <w:t xml:space="preserve">2.16</w:t>
            </w:r>
          </w:p>
        </w:tc>
        <w:tc>
          <w:tcPr/>
          <w:p w:rsidR="00000000" w:rsidDel="00000000" w:rsidP="00000000" w:rsidRDefault="00000000" w:rsidRPr="00000000" w14:paraId="00000038">
            <w:pPr>
              <w:spacing w:after="0" w:line="480" w:lineRule="auto"/>
              <w:jc w:val="right"/>
              <w:rPr>
                <w:color w:val="000000"/>
                <w:vertAlign w:val="baseline"/>
              </w:rPr>
            </w:pPr>
            <w:r w:rsidDel="00000000" w:rsidR="00000000" w:rsidRPr="00000000">
              <w:rPr>
                <w:color w:val="000000"/>
                <w:vertAlign w:val="baseline"/>
                <w:rtl w:val="0"/>
              </w:rPr>
              <w:t xml:space="preserve">3.07</w:t>
            </w:r>
          </w:p>
        </w:tc>
        <w:tc>
          <w:tcPr/>
          <w:p w:rsidR="00000000" w:rsidDel="00000000" w:rsidP="00000000" w:rsidRDefault="00000000" w:rsidRPr="00000000" w14:paraId="00000039">
            <w:pPr>
              <w:spacing w:after="0" w:line="480" w:lineRule="auto"/>
              <w:jc w:val="right"/>
              <w:rPr>
                <w:color w:val="000000"/>
                <w:vertAlign w:val="baseline"/>
              </w:rPr>
            </w:pPr>
            <w:r w:rsidDel="00000000" w:rsidR="00000000" w:rsidRPr="00000000">
              <w:rPr>
                <w:color w:val="000000"/>
                <w:vertAlign w:val="baseline"/>
                <w:rtl w:val="0"/>
              </w:rPr>
              <w:t xml:space="preserve">0.84</w:t>
            </w:r>
          </w:p>
        </w:tc>
      </w:tr>
    </w:tbl>
    <w:p w:rsidR="00000000" w:rsidDel="00000000" w:rsidP="00000000" w:rsidRDefault="00000000" w:rsidRPr="00000000" w14:paraId="0000003A">
      <w:pPr>
        <w:spacing w:after="0" w:line="480" w:lineRule="auto"/>
        <w:rPr>
          <w:highlight w:val="white"/>
          <w:vertAlign w:val="baseline"/>
        </w:rPr>
      </w:pPr>
      <w:r w:rsidDel="00000000" w:rsidR="00000000" w:rsidRPr="00000000">
        <w:rPr>
          <w:rtl w:val="0"/>
        </w:rPr>
      </w:r>
    </w:p>
    <w:p w:rsidR="00000000" w:rsidDel="00000000" w:rsidP="00000000" w:rsidRDefault="00000000" w:rsidRPr="00000000" w14:paraId="0000003B">
      <w:pPr>
        <w:spacing w:after="0" w:line="480" w:lineRule="auto"/>
        <w:ind w:firstLine="720"/>
        <w:rPr>
          <w:highlight w:val="white"/>
          <w:vertAlign w:val="baseline"/>
        </w:rPr>
      </w:pPr>
      <w:r w:rsidDel="00000000" w:rsidR="00000000" w:rsidRPr="00000000">
        <w:rPr>
          <w:highlight w:val="white"/>
          <w:vertAlign w:val="baseline"/>
          <w:rtl w:val="0"/>
        </w:rPr>
        <w:t xml:space="preserve">Generally, a higher value of debt-to-equity ratio than the industry average is hugely worrying. It also means that a higher ratio indicates a high risk. It equally suggests that a firm will face difficulties financing its growth through debt. When comparing the two firms, Coca Cola's ratio is given as 2.16, while PepsiCo's ratio is 3.07. Even though both ratios are higher than the industry average, PepsiCo's debt-to-equity ratio is higher than that of Coca Cola. It, thus, means that PepsiCo is carrying a higher-level debt when compared to Coca Cola. However, Agusta and Hati (2018) argue that debt-to-equity values that are more than one imply more risks in funding the company's business. Hence, because both company's values exceed one, it implies that they are experiencing problems financing their business operations. </w:t>
      </w:r>
    </w:p>
    <w:p w:rsidR="00000000" w:rsidDel="00000000" w:rsidP="00000000" w:rsidRDefault="00000000" w:rsidRPr="00000000" w14:paraId="0000003C">
      <w:pPr>
        <w:spacing w:after="0" w:line="480" w:lineRule="auto"/>
        <w:jc w:val="center"/>
        <w:rPr>
          <w:b w:val="0"/>
          <w:highlight w:val="white"/>
          <w:vertAlign w:val="baseline"/>
        </w:rPr>
      </w:pPr>
      <w:r w:rsidDel="00000000" w:rsidR="00000000" w:rsidRPr="00000000">
        <w:rPr>
          <w:b w:val="1"/>
          <w:highlight w:val="white"/>
          <w:vertAlign w:val="baseline"/>
          <w:rtl w:val="0"/>
        </w:rPr>
        <w:t xml:space="preserve">Firms' Profitability Relative to Industry Averages</w:t>
      </w:r>
      <w:r w:rsidDel="00000000" w:rsidR="00000000" w:rsidRPr="00000000">
        <w:rPr>
          <w:rtl w:val="0"/>
        </w:rPr>
      </w:r>
    </w:p>
    <w:p w:rsidR="00000000" w:rsidDel="00000000" w:rsidP="00000000" w:rsidRDefault="00000000" w:rsidRPr="00000000" w14:paraId="0000003D">
      <w:pPr>
        <w:spacing w:after="0" w:line="480" w:lineRule="auto"/>
        <w:ind w:firstLine="720"/>
        <w:rPr>
          <w:highlight w:val="white"/>
          <w:vertAlign w:val="baseline"/>
        </w:rPr>
      </w:pPr>
      <w:r w:rsidDel="00000000" w:rsidR="00000000" w:rsidRPr="00000000">
        <w:rPr>
          <w:highlight w:val="white"/>
          <w:vertAlign w:val="baseline"/>
          <w:rtl w:val="0"/>
        </w:rPr>
        <w:t xml:space="preserve">Agusta and Hati (2018) assert that profitability ratios play vital roles in measuring a firm's capacity to generate income. These ratios often show how efficient a business is at making profits. They also show if a business can create value for its shareholders. In particular, higher profitability ratios are preferred than lower ones. One of the most utilized profitability ratios is the profit margin, which compares profits to sales. It equally informs how well an organization is doing in handling its financial resources. From the following table, it is clear that Coca Cola is performing well than PepsiCo based on the given Profit margin. </w:t>
      </w:r>
    </w:p>
    <w:p w:rsidR="00000000" w:rsidDel="00000000" w:rsidP="00000000" w:rsidRDefault="00000000" w:rsidRPr="00000000" w14:paraId="0000003E">
      <w:pPr>
        <w:spacing w:after="0" w:line="480" w:lineRule="auto"/>
        <w:ind w:firstLine="720"/>
        <w:rPr>
          <w:highlight w:val="white"/>
          <w:vertAlign w:val="baseline"/>
        </w:rPr>
      </w:pPr>
      <w:r w:rsidDel="00000000" w:rsidR="00000000" w:rsidRPr="00000000">
        <w:rPr>
          <w:rtl w:val="0"/>
        </w:rPr>
      </w:r>
    </w:p>
    <w:p w:rsidR="00000000" w:rsidDel="00000000" w:rsidP="00000000" w:rsidRDefault="00000000" w:rsidRPr="00000000" w14:paraId="0000003F">
      <w:pPr>
        <w:spacing w:after="0" w:line="480" w:lineRule="auto"/>
        <w:ind w:firstLine="720"/>
        <w:rPr>
          <w:highlight w:val="white"/>
          <w:vertAlign w:val="baseline"/>
        </w:rPr>
      </w:pPr>
      <w:r w:rsidDel="00000000" w:rsidR="00000000" w:rsidRPr="00000000">
        <w:rPr>
          <w:rtl w:val="0"/>
        </w:rPr>
      </w:r>
    </w:p>
    <w:tbl>
      <w:tblPr>
        <w:tblStyle w:val="Table3"/>
        <w:tblW w:w="9436.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16"/>
        <w:gridCol w:w="2135"/>
        <w:gridCol w:w="1687"/>
        <w:gridCol w:w="1898"/>
        <w:tblGridChange w:id="0">
          <w:tblGrid>
            <w:gridCol w:w="3716"/>
            <w:gridCol w:w="2135"/>
            <w:gridCol w:w="1687"/>
            <w:gridCol w:w="1898"/>
          </w:tblGrid>
        </w:tblGridChange>
      </w:tblGrid>
      <w:tr>
        <w:trPr>
          <w:trHeight w:val="482" w:hRule="atLeast"/>
        </w:trPr>
        <w:tc>
          <w:tcPr/>
          <w:p w:rsidR="00000000" w:rsidDel="00000000" w:rsidP="00000000" w:rsidRDefault="00000000" w:rsidRPr="00000000" w14:paraId="00000040">
            <w:pPr>
              <w:spacing w:after="0" w:line="240" w:lineRule="auto"/>
              <w:rPr>
                <w:b w:val="0"/>
                <w:color w:val="000000"/>
                <w:vertAlign w:val="baseline"/>
              </w:rPr>
            </w:pPr>
            <w:r w:rsidDel="00000000" w:rsidR="00000000" w:rsidRPr="00000000">
              <w:rPr>
                <w:b w:val="1"/>
                <w:color w:val="000000"/>
                <w:vertAlign w:val="baseline"/>
                <w:rtl w:val="0"/>
              </w:rPr>
              <w:t xml:space="preserve">Financial Ratios </w:t>
            </w:r>
            <w:r w:rsidDel="00000000" w:rsidR="00000000" w:rsidRPr="00000000">
              <w:rPr>
                <w:rtl w:val="0"/>
              </w:rPr>
            </w:r>
          </w:p>
        </w:tc>
        <w:tc>
          <w:tcPr/>
          <w:p w:rsidR="00000000" w:rsidDel="00000000" w:rsidP="00000000" w:rsidRDefault="00000000" w:rsidRPr="00000000" w14:paraId="00000041">
            <w:pPr>
              <w:spacing w:after="0" w:line="240" w:lineRule="auto"/>
              <w:jc w:val="right"/>
              <w:rPr>
                <w:b w:val="0"/>
                <w:color w:val="000000"/>
                <w:vertAlign w:val="baseline"/>
              </w:rPr>
            </w:pPr>
            <w:r w:rsidDel="00000000" w:rsidR="00000000" w:rsidRPr="00000000">
              <w:rPr>
                <w:b w:val="1"/>
                <w:color w:val="000000"/>
                <w:vertAlign w:val="baseline"/>
                <w:rtl w:val="0"/>
              </w:rPr>
              <w:t xml:space="preserve">Coca-Cola</w:t>
            </w:r>
            <w:r w:rsidDel="00000000" w:rsidR="00000000" w:rsidRPr="00000000">
              <w:rPr>
                <w:rtl w:val="0"/>
              </w:rPr>
            </w:r>
          </w:p>
        </w:tc>
        <w:tc>
          <w:tcPr/>
          <w:p w:rsidR="00000000" w:rsidDel="00000000" w:rsidP="00000000" w:rsidRDefault="00000000" w:rsidRPr="00000000" w14:paraId="00000042">
            <w:pPr>
              <w:spacing w:after="0" w:line="240" w:lineRule="auto"/>
              <w:jc w:val="right"/>
              <w:rPr>
                <w:b w:val="0"/>
                <w:color w:val="000000"/>
                <w:vertAlign w:val="baseline"/>
              </w:rPr>
            </w:pPr>
            <w:r w:rsidDel="00000000" w:rsidR="00000000" w:rsidRPr="00000000">
              <w:rPr>
                <w:b w:val="1"/>
                <w:color w:val="000000"/>
                <w:vertAlign w:val="baseline"/>
                <w:rtl w:val="0"/>
              </w:rPr>
              <w:t xml:space="preserve">PepsiCo</w:t>
            </w:r>
            <w:r w:rsidDel="00000000" w:rsidR="00000000" w:rsidRPr="00000000">
              <w:rPr>
                <w:rtl w:val="0"/>
              </w:rPr>
            </w:r>
          </w:p>
        </w:tc>
        <w:tc>
          <w:tcPr/>
          <w:p w:rsidR="00000000" w:rsidDel="00000000" w:rsidP="00000000" w:rsidRDefault="00000000" w:rsidRPr="00000000" w14:paraId="00000043">
            <w:pPr>
              <w:spacing w:after="0" w:line="240" w:lineRule="auto"/>
              <w:jc w:val="right"/>
              <w:rPr>
                <w:b w:val="0"/>
                <w:color w:val="000000"/>
                <w:vertAlign w:val="baseline"/>
              </w:rPr>
            </w:pPr>
            <w:r w:rsidDel="00000000" w:rsidR="00000000" w:rsidRPr="00000000">
              <w:rPr>
                <w:b w:val="1"/>
                <w:color w:val="000000"/>
                <w:vertAlign w:val="baseline"/>
                <w:rtl w:val="0"/>
              </w:rPr>
              <w:t xml:space="preserve">Industry </w:t>
            </w:r>
            <w:r w:rsidDel="00000000" w:rsidR="00000000" w:rsidRPr="00000000">
              <w:rPr>
                <w:rtl w:val="0"/>
              </w:rPr>
            </w:r>
          </w:p>
        </w:tc>
      </w:tr>
      <w:tr>
        <w:trPr>
          <w:trHeight w:val="482" w:hRule="atLeast"/>
        </w:trPr>
        <w:tc>
          <w:tcPr/>
          <w:p w:rsidR="00000000" w:rsidDel="00000000" w:rsidP="00000000" w:rsidRDefault="00000000" w:rsidRPr="00000000" w14:paraId="00000044">
            <w:pPr>
              <w:spacing w:after="0" w:line="480" w:lineRule="auto"/>
              <w:rPr>
                <w:color w:val="000000"/>
                <w:vertAlign w:val="baseline"/>
              </w:rPr>
            </w:pPr>
            <w:r w:rsidDel="00000000" w:rsidR="00000000" w:rsidRPr="00000000">
              <w:rPr>
                <w:color w:val="000000"/>
                <w:vertAlign w:val="baseline"/>
                <w:rtl w:val="0"/>
              </w:rPr>
              <w:t xml:space="preserve">Gross Margin</w:t>
            </w:r>
          </w:p>
        </w:tc>
        <w:tc>
          <w:tcPr/>
          <w:p w:rsidR="00000000" w:rsidDel="00000000" w:rsidP="00000000" w:rsidRDefault="00000000" w:rsidRPr="00000000" w14:paraId="00000045">
            <w:pPr>
              <w:spacing w:after="0" w:line="480" w:lineRule="auto"/>
              <w:jc w:val="right"/>
              <w:rPr>
                <w:color w:val="000000"/>
                <w:vertAlign w:val="baseline"/>
              </w:rPr>
            </w:pPr>
            <w:r w:rsidDel="00000000" w:rsidR="00000000" w:rsidRPr="00000000">
              <w:rPr>
                <w:color w:val="000000"/>
                <w:vertAlign w:val="baseline"/>
                <w:rtl w:val="0"/>
              </w:rPr>
              <w:t xml:space="preserve">60.77</w:t>
            </w:r>
          </w:p>
        </w:tc>
        <w:tc>
          <w:tcPr/>
          <w:p w:rsidR="00000000" w:rsidDel="00000000" w:rsidP="00000000" w:rsidRDefault="00000000" w:rsidRPr="00000000" w14:paraId="00000046">
            <w:pPr>
              <w:spacing w:after="0" w:line="480" w:lineRule="auto"/>
              <w:jc w:val="right"/>
              <w:rPr>
                <w:color w:val="000000"/>
                <w:vertAlign w:val="baseline"/>
              </w:rPr>
            </w:pPr>
            <w:r w:rsidDel="00000000" w:rsidR="00000000" w:rsidRPr="00000000">
              <w:rPr>
                <w:color w:val="000000"/>
                <w:vertAlign w:val="baseline"/>
                <w:rtl w:val="0"/>
              </w:rPr>
              <w:t xml:space="preserve">55.36</w:t>
            </w:r>
          </w:p>
        </w:tc>
        <w:tc>
          <w:tcPr/>
          <w:p w:rsidR="00000000" w:rsidDel="00000000" w:rsidP="00000000" w:rsidRDefault="00000000" w:rsidRPr="00000000" w14:paraId="00000047">
            <w:pPr>
              <w:spacing w:after="0" w:line="480" w:lineRule="auto"/>
              <w:jc w:val="right"/>
              <w:rPr>
                <w:color w:val="000000"/>
                <w:vertAlign w:val="baseline"/>
              </w:rPr>
            </w:pPr>
            <w:r w:rsidDel="00000000" w:rsidR="00000000" w:rsidRPr="00000000">
              <w:rPr>
                <w:color w:val="000000"/>
                <w:vertAlign w:val="baseline"/>
                <w:rtl w:val="0"/>
              </w:rPr>
              <w:t xml:space="preserve">49.35</w:t>
            </w:r>
          </w:p>
        </w:tc>
      </w:tr>
      <w:tr>
        <w:trPr>
          <w:trHeight w:val="482" w:hRule="atLeast"/>
        </w:trPr>
        <w:tc>
          <w:tcPr/>
          <w:p w:rsidR="00000000" w:rsidDel="00000000" w:rsidP="00000000" w:rsidRDefault="00000000" w:rsidRPr="00000000" w14:paraId="00000048">
            <w:pPr>
              <w:spacing w:after="0" w:line="480" w:lineRule="auto"/>
              <w:rPr>
                <w:color w:val="000000"/>
                <w:vertAlign w:val="baseline"/>
              </w:rPr>
            </w:pPr>
            <w:r w:rsidDel="00000000" w:rsidR="00000000" w:rsidRPr="00000000">
              <w:rPr>
                <w:color w:val="000000"/>
                <w:vertAlign w:val="baseline"/>
                <w:rtl w:val="0"/>
              </w:rPr>
              <w:t xml:space="preserve">Pre-Tax Margin</w:t>
            </w:r>
          </w:p>
        </w:tc>
        <w:tc>
          <w:tcPr/>
          <w:p w:rsidR="00000000" w:rsidDel="00000000" w:rsidP="00000000" w:rsidRDefault="00000000" w:rsidRPr="00000000" w14:paraId="00000049">
            <w:pPr>
              <w:spacing w:after="0" w:line="480" w:lineRule="auto"/>
              <w:jc w:val="right"/>
              <w:rPr>
                <w:color w:val="000000"/>
                <w:vertAlign w:val="baseline"/>
              </w:rPr>
            </w:pPr>
            <w:r w:rsidDel="00000000" w:rsidR="00000000" w:rsidRPr="00000000">
              <w:rPr>
                <w:color w:val="000000"/>
                <w:vertAlign w:val="baseline"/>
                <w:rtl w:val="0"/>
              </w:rPr>
              <w:t xml:space="preserve">28.94</w:t>
            </w:r>
          </w:p>
        </w:tc>
        <w:tc>
          <w:tcPr/>
          <w:p w:rsidR="00000000" w:rsidDel="00000000" w:rsidP="00000000" w:rsidRDefault="00000000" w:rsidRPr="00000000" w14:paraId="0000004A">
            <w:pPr>
              <w:spacing w:after="0" w:line="480" w:lineRule="auto"/>
              <w:jc w:val="right"/>
              <w:rPr>
                <w:color w:val="000000"/>
                <w:vertAlign w:val="baseline"/>
              </w:rPr>
            </w:pPr>
            <w:r w:rsidDel="00000000" w:rsidR="00000000" w:rsidRPr="00000000">
              <w:rPr>
                <w:color w:val="000000"/>
                <w:vertAlign w:val="baseline"/>
                <w:rtl w:val="0"/>
              </w:rPr>
              <w:t xml:space="preserve">13.87</w:t>
            </w:r>
          </w:p>
        </w:tc>
        <w:tc>
          <w:tcPr/>
          <w:p w:rsidR="00000000" w:rsidDel="00000000" w:rsidP="00000000" w:rsidRDefault="00000000" w:rsidRPr="00000000" w14:paraId="0000004B">
            <w:pPr>
              <w:spacing w:after="0" w:line="480" w:lineRule="auto"/>
              <w:jc w:val="right"/>
              <w:rPr>
                <w:color w:val="000000"/>
                <w:vertAlign w:val="baseline"/>
              </w:rPr>
            </w:pPr>
            <w:r w:rsidDel="00000000" w:rsidR="00000000" w:rsidRPr="00000000">
              <w:rPr>
                <w:color w:val="000000"/>
                <w:vertAlign w:val="baseline"/>
                <w:rtl w:val="0"/>
              </w:rPr>
              <w:t xml:space="preserve">15.25</w:t>
            </w:r>
          </w:p>
        </w:tc>
      </w:tr>
      <w:tr>
        <w:trPr>
          <w:trHeight w:val="482" w:hRule="atLeast"/>
        </w:trPr>
        <w:tc>
          <w:tcPr/>
          <w:p w:rsidR="00000000" w:rsidDel="00000000" w:rsidP="00000000" w:rsidRDefault="00000000" w:rsidRPr="00000000" w14:paraId="0000004C">
            <w:pPr>
              <w:spacing w:after="0" w:line="480" w:lineRule="auto"/>
              <w:rPr>
                <w:color w:val="000000"/>
                <w:vertAlign w:val="baseline"/>
              </w:rPr>
            </w:pPr>
            <w:r w:rsidDel="00000000" w:rsidR="00000000" w:rsidRPr="00000000">
              <w:rPr>
                <w:color w:val="000000"/>
                <w:vertAlign w:val="baseline"/>
                <w:rtl w:val="0"/>
              </w:rPr>
              <w:t xml:space="preserve">Net Profit Margin</w:t>
            </w:r>
          </w:p>
        </w:tc>
        <w:tc>
          <w:tcPr/>
          <w:p w:rsidR="00000000" w:rsidDel="00000000" w:rsidP="00000000" w:rsidRDefault="00000000" w:rsidRPr="00000000" w14:paraId="0000004D">
            <w:pPr>
              <w:spacing w:after="0" w:line="480" w:lineRule="auto"/>
              <w:jc w:val="right"/>
              <w:rPr>
                <w:color w:val="000000"/>
                <w:vertAlign w:val="baseline"/>
              </w:rPr>
            </w:pPr>
            <w:r w:rsidDel="00000000" w:rsidR="00000000" w:rsidRPr="00000000">
              <w:rPr>
                <w:color w:val="000000"/>
                <w:vertAlign w:val="baseline"/>
                <w:rtl w:val="0"/>
              </w:rPr>
              <w:t xml:space="preserve">24.11</w:t>
            </w:r>
          </w:p>
        </w:tc>
        <w:tc>
          <w:tcPr/>
          <w:p w:rsidR="00000000" w:rsidDel="00000000" w:rsidP="00000000" w:rsidRDefault="00000000" w:rsidRPr="00000000" w14:paraId="0000004E">
            <w:pPr>
              <w:spacing w:after="0" w:line="480" w:lineRule="auto"/>
              <w:jc w:val="right"/>
              <w:rPr>
                <w:color w:val="000000"/>
                <w:vertAlign w:val="baseline"/>
              </w:rPr>
            </w:pPr>
            <w:r w:rsidDel="00000000" w:rsidR="00000000" w:rsidRPr="00000000">
              <w:rPr>
                <w:color w:val="000000"/>
                <w:vertAlign w:val="baseline"/>
                <w:rtl w:val="0"/>
              </w:rPr>
              <w:t xml:space="preserve">10.94</w:t>
            </w:r>
          </w:p>
        </w:tc>
        <w:tc>
          <w:tcPr/>
          <w:p w:rsidR="00000000" w:rsidDel="00000000" w:rsidP="00000000" w:rsidRDefault="00000000" w:rsidRPr="00000000" w14:paraId="0000004F">
            <w:pPr>
              <w:spacing w:after="0" w:line="480" w:lineRule="auto"/>
              <w:jc w:val="right"/>
              <w:rPr>
                <w:color w:val="000000"/>
                <w:vertAlign w:val="baseline"/>
              </w:rPr>
            </w:pPr>
            <w:r w:rsidDel="00000000" w:rsidR="00000000" w:rsidRPr="00000000">
              <w:rPr>
                <w:color w:val="000000"/>
                <w:vertAlign w:val="baseline"/>
                <w:rtl w:val="0"/>
              </w:rPr>
              <w:t xml:space="preserve">10.92</w:t>
            </w:r>
          </w:p>
        </w:tc>
      </w:tr>
      <w:tr>
        <w:trPr>
          <w:trHeight w:val="482" w:hRule="atLeast"/>
        </w:trPr>
        <w:tc>
          <w:tcPr/>
          <w:p w:rsidR="00000000" w:rsidDel="00000000" w:rsidP="00000000" w:rsidRDefault="00000000" w:rsidRPr="00000000" w14:paraId="00000050">
            <w:pPr>
              <w:spacing w:after="0" w:line="480" w:lineRule="auto"/>
              <w:rPr>
                <w:color w:val="000000"/>
                <w:vertAlign w:val="baseline"/>
              </w:rPr>
            </w:pPr>
            <w:r w:rsidDel="00000000" w:rsidR="00000000" w:rsidRPr="00000000">
              <w:rPr>
                <w:color w:val="000000"/>
                <w:vertAlign w:val="baseline"/>
                <w:rtl w:val="0"/>
              </w:rPr>
              <w:t xml:space="preserve">Five-year average Gross Margin</w:t>
            </w:r>
          </w:p>
        </w:tc>
        <w:tc>
          <w:tcPr/>
          <w:p w:rsidR="00000000" w:rsidDel="00000000" w:rsidP="00000000" w:rsidRDefault="00000000" w:rsidRPr="00000000" w14:paraId="00000051">
            <w:pPr>
              <w:spacing w:after="0" w:line="480" w:lineRule="auto"/>
              <w:jc w:val="right"/>
              <w:rPr>
                <w:color w:val="000000"/>
                <w:vertAlign w:val="baseline"/>
              </w:rPr>
            </w:pPr>
            <w:r w:rsidDel="00000000" w:rsidR="00000000" w:rsidRPr="00000000">
              <w:rPr>
                <w:color w:val="000000"/>
                <w:vertAlign w:val="baseline"/>
                <w:rtl w:val="0"/>
              </w:rPr>
              <w:t xml:space="preserve">61.14</w:t>
            </w:r>
          </w:p>
        </w:tc>
        <w:tc>
          <w:tcPr/>
          <w:p w:rsidR="00000000" w:rsidDel="00000000" w:rsidP="00000000" w:rsidRDefault="00000000" w:rsidRPr="00000000" w14:paraId="00000052">
            <w:pPr>
              <w:spacing w:after="0" w:line="480" w:lineRule="auto"/>
              <w:jc w:val="right"/>
              <w:rPr>
                <w:color w:val="000000"/>
                <w:vertAlign w:val="baseline"/>
              </w:rPr>
            </w:pPr>
            <w:r w:rsidDel="00000000" w:rsidR="00000000" w:rsidRPr="00000000">
              <w:rPr>
                <w:color w:val="000000"/>
                <w:vertAlign w:val="baseline"/>
                <w:rtl w:val="0"/>
              </w:rPr>
              <w:t xml:space="preserve">54.82</w:t>
            </w:r>
          </w:p>
        </w:tc>
        <w:tc>
          <w:tcPr/>
          <w:p w:rsidR="00000000" w:rsidDel="00000000" w:rsidP="00000000" w:rsidRDefault="00000000" w:rsidRPr="00000000" w14:paraId="00000053">
            <w:pPr>
              <w:spacing w:after="0" w:line="480" w:lineRule="auto"/>
              <w:jc w:val="right"/>
              <w:rPr>
                <w:color w:val="000000"/>
                <w:vertAlign w:val="baseline"/>
              </w:rPr>
            </w:pPr>
            <w:r w:rsidDel="00000000" w:rsidR="00000000" w:rsidRPr="00000000">
              <w:rPr>
                <w:color w:val="000000"/>
                <w:vertAlign w:val="baseline"/>
                <w:rtl w:val="0"/>
              </w:rPr>
              <w:t xml:space="preserve">49.85</w:t>
            </w:r>
          </w:p>
        </w:tc>
      </w:tr>
      <w:tr>
        <w:trPr>
          <w:trHeight w:val="482" w:hRule="atLeast"/>
        </w:trPr>
        <w:tc>
          <w:tcPr/>
          <w:p w:rsidR="00000000" w:rsidDel="00000000" w:rsidP="00000000" w:rsidRDefault="00000000" w:rsidRPr="00000000" w14:paraId="00000054">
            <w:pPr>
              <w:spacing w:after="0" w:line="480" w:lineRule="auto"/>
              <w:rPr>
                <w:color w:val="000000"/>
                <w:vertAlign w:val="baseline"/>
              </w:rPr>
            </w:pPr>
            <w:r w:rsidDel="00000000" w:rsidR="00000000" w:rsidRPr="00000000">
              <w:rPr>
                <w:color w:val="000000"/>
                <w:vertAlign w:val="baseline"/>
                <w:rtl w:val="0"/>
              </w:rPr>
              <w:t xml:space="preserve">Five-year average Pre-Tax Margin </w:t>
            </w:r>
          </w:p>
        </w:tc>
        <w:tc>
          <w:tcPr/>
          <w:p w:rsidR="00000000" w:rsidDel="00000000" w:rsidP="00000000" w:rsidRDefault="00000000" w:rsidRPr="00000000" w14:paraId="00000055">
            <w:pPr>
              <w:spacing w:after="0" w:line="480" w:lineRule="auto"/>
              <w:jc w:val="right"/>
              <w:rPr>
                <w:color w:val="000000"/>
                <w:vertAlign w:val="baseline"/>
              </w:rPr>
            </w:pPr>
            <w:r w:rsidDel="00000000" w:rsidR="00000000" w:rsidRPr="00000000">
              <w:rPr>
                <w:color w:val="000000"/>
                <w:vertAlign w:val="baseline"/>
                <w:rtl w:val="0"/>
              </w:rPr>
              <w:t xml:space="preserve">22.50</w:t>
            </w:r>
          </w:p>
        </w:tc>
        <w:tc>
          <w:tcPr/>
          <w:p w:rsidR="00000000" w:rsidDel="00000000" w:rsidP="00000000" w:rsidRDefault="00000000" w:rsidRPr="00000000" w14:paraId="00000056">
            <w:pPr>
              <w:spacing w:after="0" w:line="480" w:lineRule="auto"/>
              <w:jc w:val="right"/>
              <w:rPr>
                <w:color w:val="000000"/>
                <w:vertAlign w:val="baseline"/>
              </w:rPr>
            </w:pPr>
            <w:r w:rsidDel="00000000" w:rsidR="00000000" w:rsidRPr="00000000">
              <w:rPr>
                <w:color w:val="000000"/>
                <w:vertAlign w:val="baseline"/>
                <w:rtl w:val="0"/>
              </w:rPr>
              <w:t xml:space="preserve">13.73</w:t>
            </w:r>
          </w:p>
        </w:tc>
        <w:tc>
          <w:tcPr/>
          <w:p w:rsidR="00000000" w:rsidDel="00000000" w:rsidP="00000000" w:rsidRDefault="00000000" w:rsidRPr="00000000" w14:paraId="00000057">
            <w:pPr>
              <w:spacing w:after="0" w:line="480" w:lineRule="auto"/>
              <w:jc w:val="right"/>
              <w:rPr>
                <w:color w:val="000000"/>
                <w:vertAlign w:val="baseline"/>
              </w:rPr>
            </w:pPr>
            <w:r w:rsidDel="00000000" w:rsidR="00000000" w:rsidRPr="00000000">
              <w:rPr>
                <w:color w:val="000000"/>
                <w:vertAlign w:val="baseline"/>
                <w:rtl w:val="0"/>
              </w:rPr>
              <w:t xml:space="preserve">15.31</w:t>
            </w:r>
          </w:p>
        </w:tc>
      </w:tr>
    </w:tbl>
    <w:p w:rsidR="00000000" w:rsidDel="00000000" w:rsidP="00000000" w:rsidRDefault="00000000" w:rsidRPr="00000000" w14:paraId="00000058">
      <w:pPr>
        <w:spacing w:after="0" w:line="480" w:lineRule="auto"/>
        <w:rPr>
          <w:highlight w:val="white"/>
          <w:vertAlign w:val="baseline"/>
        </w:rPr>
      </w:pPr>
      <w:r w:rsidDel="00000000" w:rsidR="00000000" w:rsidRPr="00000000">
        <w:rPr>
          <w:rtl w:val="0"/>
        </w:rPr>
      </w:r>
    </w:p>
    <w:p w:rsidR="00000000" w:rsidDel="00000000" w:rsidP="00000000" w:rsidRDefault="00000000" w:rsidRPr="00000000" w14:paraId="00000059">
      <w:pPr>
        <w:spacing w:after="0" w:line="480" w:lineRule="auto"/>
        <w:ind w:firstLine="720"/>
        <w:rPr>
          <w:highlight w:val="white"/>
          <w:vertAlign w:val="baseline"/>
        </w:rPr>
      </w:pPr>
      <w:r w:rsidDel="00000000" w:rsidR="00000000" w:rsidRPr="00000000">
        <w:rPr>
          <w:rtl w:val="0"/>
        </w:rPr>
      </w:r>
    </w:p>
    <w:p w:rsidR="00000000" w:rsidDel="00000000" w:rsidP="00000000" w:rsidRDefault="00000000" w:rsidRPr="00000000" w14:paraId="0000005A">
      <w:pPr>
        <w:spacing w:after="0" w:line="480" w:lineRule="auto"/>
        <w:ind w:firstLine="720"/>
        <w:rPr>
          <w:highlight w:val="white"/>
          <w:vertAlign w:val="baseline"/>
        </w:rPr>
      </w:pPr>
      <w:r w:rsidDel="00000000" w:rsidR="00000000" w:rsidRPr="00000000">
        <w:rPr>
          <w:rtl w:val="0"/>
        </w:rPr>
      </w:r>
    </w:p>
    <w:p w:rsidR="00000000" w:rsidDel="00000000" w:rsidP="00000000" w:rsidRDefault="00000000" w:rsidRPr="00000000" w14:paraId="0000005B">
      <w:pPr>
        <w:spacing w:after="0" w:line="480" w:lineRule="auto"/>
        <w:ind w:left="0" w:firstLine="0"/>
        <w:rPr>
          <w:highlight w:val="white"/>
          <w:vertAlign w:val="baseline"/>
        </w:rPr>
      </w:pPr>
      <w:r w:rsidDel="00000000" w:rsidR="00000000" w:rsidRPr="00000000">
        <w:rPr>
          <w:rtl w:val="0"/>
        </w:rPr>
      </w:r>
    </w:p>
    <w:p w:rsidR="00000000" w:rsidDel="00000000" w:rsidP="00000000" w:rsidRDefault="00000000" w:rsidRPr="00000000" w14:paraId="0000005C">
      <w:pPr>
        <w:spacing w:after="0" w:line="480" w:lineRule="auto"/>
        <w:jc w:val="center"/>
        <w:rPr>
          <w:highlight w:val="white"/>
          <w:vertAlign w:val="baseline"/>
        </w:rPr>
      </w:pPr>
      <w:r w:rsidDel="00000000" w:rsidR="00000000" w:rsidRPr="00000000">
        <w:rPr>
          <w:highlight w:val="white"/>
          <w:vertAlign w:val="baseline"/>
          <w:rtl w:val="0"/>
        </w:rPr>
        <w:t xml:space="preserve">References</w:t>
      </w:r>
    </w:p>
    <w:p w:rsidR="00000000" w:rsidDel="00000000" w:rsidP="00000000" w:rsidRDefault="00000000" w:rsidRPr="00000000" w14:paraId="0000005D">
      <w:pPr>
        <w:spacing w:after="0" w:line="480" w:lineRule="auto"/>
        <w:ind w:left="720" w:hanging="720"/>
        <w:rPr>
          <w:highlight w:val="white"/>
          <w:vertAlign w:val="baseline"/>
        </w:rPr>
      </w:pPr>
      <w:r w:rsidDel="00000000" w:rsidR="00000000" w:rsidRPr="00000000">
        <w:rPr>
          <w:highlight w:val="white"/>
          <w:vertAlign w:val="baseline"/>
          <w:rtl w:val="0"/>
        </w:rPr>
        <w:t xml:space="preserve">Agusta, R. F., &amp; Hati, S. W. (2018). Calculation of liquidity, solvency, and profitability ratio in Manufacturing Company. </w:t>
      </w:r>
      <w:r w:rsidDel="00000000" w:rsidR="00000000" w:rsidRPr="00000000">
        <w:rPr>
          <w:i w:val="1"/>
          <w:highlight w:val="white"/>
          <w:vertAlign w:val="baseline"/>
          <w:rtl w:val="0"/>
        </w:rPr>
        <w:t xml:space="preserve">Journal of Applied Accounting and Taxation</w:t>
      </w:r>
      <w:r w:rsidDel="00000000" w:rsidR="00000000" w:rsidRPr="00000000">
        <w:rPr>
          <w:highlight w:val="white"/>
          <w:vertAlign w:val="baseline"/>
          <w:rtl w:val="0"/>
        </w:rPr>
        <w:t xml:space="preserve">, </w:t>
      </w:r>
      <w:r w:rsidDel="00000000" w:rsidR="00000000" w:rsidRPr="00000000">
        <w:rPr>
          <w:i w:val="1"/>
          <w:highlight w:val="white"/>
          <w:vertAlign w:val="baseline"/>
          <w:rtl w:val="0"/>
        </w:rPr>
        <w:t xml:space="preserve">3</w:t>
      </w:r>
      <w:r w:rsidDel="00000000" w:rsidR="00000000" w:rsidRPr="00000000">
        <w:rPr>
          <w:highlight w:val="white"/>
          <w:vertAlign w:val="baseline"/>
          <w:rtl w:val="0"/>
        </w:rPr>
        <w:t xml:space="preserve">(2), 110-116.</w:t>
      </w:r>
    </w:p>
    <w:p w:rsidR="00000000" w:rsidDel="00000000" w:rsidP="00000000" w:rsidRDefault="00000000" w:rsidRPr="00000000" w14:paraId="0000005E">
      <w:pPr>
        <w:spacing w:after="0" w:line="480" w:lineRule="auto"/>
        <w:ind w:left="720" w:hanging="720"/>
        <w:rPr>
          <w:color w:val="000000"/>
          <w:highlight w:val="white"/>
          <w:vertAlign w:val="baseline"/>
        </w:rPr>
      </w:pPr>
      <w:r w:rsidDel="00000000" w:rsidR="00000000" w:rsidRPr="00000000">
        <w:rPr>
          <w:color w:val="000000"/>
          <w:highlight w:val="white"/>
          <w:vertAlign w:val="baseline"/>
          <w:rtl w:val="0"/>
        </w:rPr>
        <w:t xml:space="preserve">Coca-Cola. (2020). KO - research and analysis for the Coca-Cola company - MSN money. Retrieved 14 August 2020, from </w:t>
      </w:r>
      <w:hyperlink r:id="rId6">
        <w:r w:rsidDel="00000000" w:rsidR="00000000" w:rsidRPr="00000000">
          <w:rPr>
            <w:color w:val="0000ff"/>
            <w:highlight w:val="white"/>
            <w:u w:val="single"/>
            <w:vertAlign w:val="baseline"/>
            <w:rtl w:val="0"/>
          </w:rPr>
          <w:t xml:space="preserve">https://www.msn.com/en-us/money/stockdetails/analysis/nys-ko/fi-a1wljc</w:t>
        </w:r>
      </w:hyperlink>
      <w:r w:rsidDel="00000000" w:rsidR="00000000" w:rsidRPr="00000000">
        <w:rPr>
          <w:rtl w:val="0"/>
        </w:rPr>
      </w:r>
    </w:p>
    <w:p w:rsidR="00000000" w:rsidDel="00000000" w:rsidP="00000000" w:rsidRDefault="00000000" w:rsidRPr="00000000" w14:paraId="0000005F">
      <w:pPr>
        <w:spacing w:after="0" w:line="480" w:lineRule="auto"/>
        <w:ind w:left="720" w:hanging="720"/>
        <w:rPr>
          <w:color w:val="000000"/>
          <w:highlight w:val="white"/>
          <w:vertAlign w:val="baseline"/>
        </w:rPr>
      </w:pPr>
      <w:r w:rsidDel="00000000" w:rsidR="00000000" w:rsidRPr="00000000">
        <w:rPr>
          <w:color w:val="000000"/>
          <w:highlight w:val="white"/>
          <w:vertAlign w:val="baseline"/>
          <w:rtl w:val="0"/>
        </w:rPr>
        <w:t xml:space="preserve">PepsiCo. (2020). PEP - research and analysis for PepsiCo, Inc. - MSN money. Retrieved 14 August 2020, from </w:t>
      </w:r>
      <w:hyperlink r:id="rId7">
        <w:r w:rsidDel="00000000" w:rsidR="00000000" w:rsidRPr="00000000">
          <w:rPr>
            <w:color w:val="0000ff"/>
            <w:highlight w:val="white"/>
            <w:u w:val="single"/>
            <w:vertAlign w:val="baseline"/>
            <w:rtl w:val="0"/>
          </w:rPr>
          <w:t xml:space="preserve">https://www.msn.com/en-us/money/stockdetails/analysis/nas-pep/fi-axyhnm</w:t>
        </w:r>
      </w:hyperlink>
      <w:r w:rsidDel="00000000" w:rsidR="00000000" w:rsidRPr="00000000">
        <w:rPr>
          <w:rtl w:val="0"/>
        </w:rPr>
      </w:r>
    </w:p>
    <w:p w:rsidR="00000000" w:rsidDel="00000000" w:rsidP="00000000" w:rsidRDefault="00000000" w:rsidRPr="00000000" w14:paraId="00000060">
      <w:pPr>
        <w:spacing w:after="0" w:line="480" w:lineRule="auto"/>
        <w:ind w:left="720" w:hanging="720"/>
        <w:rPr>
          <w:highlight w:val="white"/>
          <w:vertAlign w:val="baseline"/>
        </w:rPr>
      </w:pPr>
      <w:r w:rsidDel="00000000" w:rsidR="00000000" w:rsidRPr="00000000">
        <w:rPr>
          <w:rtl w:val="0"/>
        </w:rPr>
      </w:r>
    </w:p>
    <w:p w:rsidR="00000000" w:rsidDel="00000000" w:rsidP="00000000" w:rsidRDefault="00000000" w:rsidRPr="00000000" w14:paraId="00000061">
      <w:pPr>
        <w:spacing w:after="0" w:line="480" w:lineRule="auto"/>
        <w:ind w:firstLine="720"/>
        <w:rPr>
          <w:highlight w:val="white"/>
          <w:vertAlign w:val="baseline"/>
        </w:rPr>
      </w:pPr>
      <w:r w:rsidDel="00000000" w:rsidR="00000000" w:rsidRPr="00000000">
        <w:rPr>
          <w:rtl w:val="0"/>
        </w:rPr>
      </w:r>
    </w:p>
    <w:p w:rsidR="00000000" w:rsidDel="00000000" w:rsidP="00000000" w:rsidRDefault="00000000" w:rsidRPr="00000000" w14:paraId="00000062">
      <w:pPr>
        <w:spacing w:after="0" w:line="480" w:lineRule="auto"/>
        <w:ind w:firstLine="720"/>
        <w:rPr>
          <w:highlight w:val="white"/>
          <w:vertAlign w:val="baseline"/>
        </w:rPr>
      </w:pPr>
      <w:r w:rsidDel="00000000" w:rsidR="00000000" w:rsidRPr="00000000">
        <w:rPr>
          <w:rtl w:val="0"/>
        </w:rPr>
      </w:r>
    </w:p>
    <w:p w:rsidR="00000000" w:rsidDel="00000000" w:rsidP="00000000" w:rsidRDefault="00000000" w:rsidRPr="00000000" w14:paraId="00000063">
      <w:pPr>
        <w:spacing w:after="0" w:line="480" w:lineRule="auto"/>
        <w:ind w:firstLine="720"/>
        <w:rPr>
          <w:highlight w:val="white"/>
          <w:vertAlign w:val="baseline"/>
        </w:rPr>
      </w:pPr>
      <w:r w:rsidDel="00000000" w:rsidR="00000000" w:rsidRPr="00000000">
        <w:rPr>
          <w:rtl w:val="0"/>
        </w:rPr>
      </w:r>
    </w:p>
    <w:p w:rsidR="00000000" w:rsidDel="00000000" w:rsidP="00000000" w:rsidRDefault="00000000" w:rsidRPr="00000000" w14:paraId="00000064">
      <w:pPr>
        <w:spacing w:after="0" w:line="480" w:lineRule="auto"/>
        <w:ind w:firstLine="720"/>
        <w:rPr>
          <w:highlight w:val="white"/>
          <w:vertAlign w:val="baseline"/>
        </w:rPr>
      </w:pPr>
      <w:r w:rsidDel="00000000" w:rsidR="00000000" w:rsidRPr="00000000">
        <w:rPr>
          <w:rtl w:val="0"/>
        </w:rPr>
      </w:r>
    </w:p>
    <w:p w:rsidR="00000000" w:rsidDel="00000000" w:rsidP="00000000" w:rsidRDefault="00000000" w:rsidRPr="00000000" w14:paraId="00000065">
      <w:pPr>
        <w:spacing w:after="0" w:line="480" w:lineRule="auto"/>
        <w:ind w:firstLine="720"/>
        <w:rPr>
          <w:highlight w:val="white"/>
          <w:vertAlign w:val="baseline"/>
        </w:rPr>
      </w:pPr>
      <w:r w:rsidDel="00000000" w:rsidR="00000000" w:rsidRPr="00000000">
        <w:rPr>
          <w:rtl w:val="0"/>
        </w:rPr>
      </w:r>
    </w:p>
    <w:p w:rsidR="00000000" w:rsidDel="00000000" w:rsidP="00000000" w:rsidRDefault="00000000" w:rsidRPr="00000000" w14:paraId="00000066">
      <w:pPr>
        <w:spacing w:after="0" w:line="480" w:lineRule="auto"/>
        <w:ind w:firstLine="720"/>
        <w:rPr>
          <w:color w:val="000000"/>
          <w:highlight w:val="white"/>
          <w:vertAlign w:val="baseline"/>
        </w:rPr>
      </w:pPr>
      <w:r w:rsidDel="00000000" w:rsidR="00000000" w:rsidRPr="00000000">
        <w:rPr>
          <w:rtl w:val="0"/>
        </w:rPr>
      </w:r>
    </w:p>
    <w:sectPr>
      <w:headerReference r:id="rId8" w:type="default"/>
      <w:head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spacing w:after="0" w:line="480" w:lineRule="auto"/>
      <w:rPr>
        <w:color w:val="000000"/>
        <w:highlight w:val="white"/>
        <w:vertAlign w:val="baseline"/>
      </w:rPr>
    </w:pPr>
    <w:r w:rsidDel="00000000" w:rsidR="00000000" w:rsidRPr="00000000">
      <w:rPr>
        <w:highlight w:val="white"/>
        <w:vertAlign w:val="baseline"/>
        <w:rtl w:val="0"/>
      </w:rPr>
      <w:t xml:space="preserve">COCA-COLA (KO) AND PEPSICO (PEP)</w:t>
    </w:r>
    <w:r w:rsidDel="00000000" w:rsidR="00000000" w:rsidRPr="00000000">
      <w:rPr>
        <w:color w:val="000000"/>
        <w:highlight w:val="white"/>
        <w:vertAlign w:val="baseline"/>
        <w:rtl w:val="0"/>
      </w:rPr>
      <w:tab/>
      <w:tab/>
      <w:tab/>
      <w:tab/>
      <w:tab/>
      <w:tab/>
      <w:tab/>
      <w:t xml:space="preserve">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spacing w:after="0" w:line="480" w:lineRule="auto"/>
      <w:rPr>
        <w:color w:val="000000"/>
        <w:highlight w:val="white"/>
        <w:vertAlign w:val="baseline"/>
      </w:rPr>
    </w:pPr>
    <w:r w:rsidDel="00000000" w:rsidR="00000000" w:rsidRPr="00000000">
      <w:rPr>
        <w:highlight w:val="white"/>
        <w:vertAlign w:val="baseline"/>
        <w:rtl w:val="0"/>
      </w:rPr>
      <w:t xml:space="preserve">Running head: COCA-COLA (KO) AND PEPSICO (PEP)</w:t>
    </w:r>
    <w:r w:rsidDel="00000000" w:rsidR="00000000" w:rsidRPr="00000000">
      <w:rPr>
        <w:color w:val="000000"/>
        <w:highlight w:val="white"/>
        <w:vertAlign w:val="baseline"/>
        <w:rtl w:val="0"/>
      </w:rPr>
      <w:tab/>
      <w:tab/>
      <w:tab/>
      <w:tab/>
      <w:tab/>
      <w:t xml:space="preserve">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msn.com/en-us/money/stockdetails/analysis/nys-ko/fi-a1wljc" TargetMode="External"/><Relationship Id="rId7" Type="http://schemas.openxmlformats.org/officeDocument/2006/relationships/hyperlink" Target="https://www.msn.com/en-us/money/stockdetails/analysis/nas-pep/fi-axyhn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