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9D7BC" w14:textId="77777777" w:rsidR="00EC654E" w:rsidRDefault="00EC654E" w:rsidP="00EC654E">
      <w:pPr>
        <w:spacing w:after="0" w:line="480" w:lineRule="auto"/>
        <w:jc w:val="center"/>
        <w:rPr>
          <w:rFonts w:ascii="Times New Roman" w:hAnsi="Times New Roman" w:cs="Times New Roman"/>
          <w:sz w:val="24"/>
          <w:szCs w:val="24"/>
        </w:rPr>
      </w:pPr>
    </w:p>
    <w:p w14:paraId="1E763AB0" w14:textId="77777777" w:rsidR="00EC654E" w:rsidRDefault="00EC654E" w:rsidP="00EC654E">
      <w:pPr>
        <w:spacing w:after="0" w:line="480" w:lineRule="auto"/>
        <w:jc w:val="center"/>
        <w:rPr>
          <w:rFonts w:ascii="Times New Roman" w:hAnsi="Times New Roman" w:cs="Times New Roman"/>
          <w:sz w:val="24"/>
          <w:szCs w:val="24"/>
        </w:rPr>
      </w:pPr>
    </w:p>
    <w:p w14:paraId="38B6414A" w14:textId="77777777" w:rsidR="00EC654E" w:rsidRDefault="00EC654E" w:rsidP="00EC654E">
      <w:pPr>
        <w:spacing w:after="0" w:line="480" w:lineRule="auto"/>
        <w:jc w:val="center"/>
        <w:rPr>
          <w:rFonts w:ascii="Times New Roman" w:hAnsi="Times New Roman" w:cs="Times New Roman"/>
          <w:sz w:val="24"/>
          <w:szCs w:val="24"/>
        </w:rPr>
      </w:pPr>
    </w:p>
    <w:p w14:paraId="42F37512" w14:textId="77777777" w:rsidR="00EC654E" w:rsidRDefault="00EC654E" w:rsidP="00EC654E">
      <w:pPr>
        <w:spacing w:after="0" w:line="480" w:lineRule="auto"/>
        <w:jc w:val="center"/>
        <w:rPr>
          <w:rFonts w:ascii="Times New Roman" w:hAnsi="Times New Roman" w:cs="Times New Roman"/>
          <w:sz w:val="24"/>
          <w:szCs w:val="24"/>
        </w:rPr>
      </w:pPr>
    </w:p>
    <w:p w14:paraId="10DF0E6E" w14:textId="77777777" w:rsidR="00EC654E" w:rsidRDefault="00EC654E" w:rsidP="00EC654E">
      <w:pPr>
        <w:spacing w:after="0" w:line="480" w:lineRule="auto"/>
        <w:jc w:val="center"/>
        <w:rPr>
          <w:rFonts w:ascii="Times New Roman" w:hAnsi="Times New Roman" w:cs="Times New Roman"/>
          <w:sz w:val="24"/>
          <w:szCs w:val="24"/>
        </w:rPr>
      </w:pPr>
    </w:p>
    <w:p w14:paraId="58395219" w14:textId="77777777" w:rsidR="00EC654E" w:rsidRDefault="00EC654E" w:rsidP="00EC654E">
      <w:pPr>
        <w:spacing w:after="0" w:line="480" w:lineRule="auto"/>
        <w:jc w:val="center"/>
        <w:rPr>
          <w:rFonts w:ascii="Times New Roman" w:hAnsi="Times New Roman" w:cs="Times New Roman"/>
          <w:sz w:val="24"/>
          <w:szCs w:val="24"/>
        </w:rPr>
      </w:pPr>
    </w:p>
    <w:p w14:paraId="2A0F7581" w14:textId="77777777" w:rsidR="00EC654E" w:rsidRDefault="00EC654E" w:rsidP="00EC654E">
      <w:pPr>
        <w:spacing w:after="0" w:line="480" w:lineRule="auto"/>
        <w:jc w:val="center"/>
        <w:rPr>
          <w:rFonts w:ascii="Times New Roman" w:hAnsi="Times New Roman" w:cs="Times New Roman"/>
          <w:sz w:val="24"/>
          <w:szCs w:val="24"/>
        </w:rPr>
      </w:pPr>
    </w:p>
    <w:p w14:paraId="2E1BA956" w14:textId="79FEBFBE" w:rsidR="00B65C4A" w:rsidRPr="00EF174B" w:rsidRDefault="00EF174B" w:rsidP="00B65C4A">
      <w:pPr>
        <w:spacing w:after="0" w:line="480" w:lineRule="auto"/>
        <w:jc w:val="center"/>
        <w:rPr>
          <w:rFonts w:ascii="Times New Roman" w:hAnsi="Times New Roman" w:cs="Times New Roman"/>
          <w:sz w:val="24"/>
          <w:szCs w:val="24"/>
        </w:rPr>
      </w:pPr>
      <w:bookmarkStart w:id="0" w:name="_Hlk509157921"/>
      <w:r w:rsidRPr="00EF174B">
        <w:rPr>
          <w:rFonts w:ascii="Times New Roman" w:hAnsi="Times New Roman" w:cs="Times New Roman"/>
          <w:sz w:val="24"/>
          <w:szCs w:val="24"/>
        </w:rPr>
        <w:t xml:space="preserve">Assignment 2: </w:t>
      </w:r>
      <w:r w:rsidR="00393268" w:rsidRPr="00393268">
        <w:rPr>
          <w:rFonts w:ascii="Times New Roman" w:hAnsi="Times New Roman" w:cs="Times New Roman"/>
          <w:sz w:val="24"/>
          <w:szCs w:val="24"/>
        </w:rPr>
        <w:t>Tax Cuts and Jobs Act</w:t>
      </w:r>
    </w:p>
    <w:bookmarkEnd w:id="0"/>
    <w:p w14:paraId="31B6D4F2" w14:textId="77777777" w:rsidR="00393268" w:rsidRPr="00393268" w:rsidRDefault="00393268" w:rsidP="00393268">
      <w:pPr>
        <w:spacing w:after="0" w:line="480" w:lineRule="auto"/>
        <w:jc w:val="center"/>
        <w:rPr>
          <w:rFonts w:ascii="Times New Roman" w:hAnsi="Times New Roman" w:cs="Times New Roman"/>
          <w:bCs/>
          <w:sz w:val="24"/>
          <w:szCs w:val="24"/>
        </w:rPr>
      </w:pPr>
      <w:r w:rsidRPr="00393268">
        <w:rPr>
          <w:rFonts w:ascii="Times New Roman" w:hAnsi="Times New Roman" w:cs="Times New Roman"/>
          <w:bCs/>
          <w:sz w:val="24"/>
          <w:szCs w:val="24"/>
        </w:rPr>
        <w:t>Isaura Perry</w:t>
      </w:r>
    </w:p>
    <w:p w14:paraId="4E1405E1" w14:textId="77777777" w:rsidR="00393268" w:rsidRPr="00393268" w:rsidRDefault="00393268" w:rsidP="00393268">
      <w:pPr>
        <w:spacing w:after="0" w:line="480" w:lineRule="auto"/>
        <w:jc w:val="center"/>
        <w:rPr>
          <w:rFonts w:ascii="Times New Roman" w:hAnsi="Times New Roman" w:cs="Times New Roman"/>
          <w:bCs/>
          <w:sz w:val="24"/>
          <w:szCs w:val="24"/>
        </w:rPr>
      </w:pPr>
      <w:r w:rsidRPr="00393268">
        <w:rPr>
          <w:rFonts w:ascii="Times New Roman" w:hAnsi="Times New Roman" w:cs="Times New Roman"/>
          <w:bCs/>
          <w:sz w:val="24"/>
          <w:szCs w:val="24"/>
        </w:rPr>
        <w:t>Strayer University</w:t>
      </w:r>
    </w:p>
    <w:p w14:paraId="71326AE4" w14:textId="77777777" w:rsidR="00393268" w:rsidRPr="00393268" w:rsidRDefault="00393268" w:rsidP="00393268">
      <w:pPr>
        <w:spacing w:after="0" w:line="480" w:lineRule="auto"/>
        <w:jc w:val="center"/>
        <w:rPr>
          <w:rFonts w:ascii="Times New Roman" w:hAnsi="Times New Roman" w:cs="Times New Roman"/>
          <w:bCs/>
          <w:sz w:val="24"/>
          <w:szCs w:val="24"/>
        </w:rPr>
      </w:pPr>
      <w:r w:rsidRPr="00393268">
        <w:rPr>
          <w:rFonts w:ascii="Times New Roman" w:hAnsi="Times New Roman" w:cs="Times New Roman"/>
          <w:bCs/>
          <w:sz w:val="24"/>
          <w:szCs w:val="24"/>
        </w:rPr>
        <w:t>ACC 307: Federal Taxation</w:t>
      </w:r>
    </w:p>
    <w:p w14:paraId="363BAB15" w14:textId="77777777" w:rsidR="00393268" w:rsidRPr="00393268" w:rsidRDefault="00393268" w:rsidP="00393268">
      <w:pPr>
        <w:spacing w:after="0" w:line="480" w:lineRule="auto"/>
        <w:jc w:val="center"/>
        <w:rPr>
          <w:rFonts w:ascii="Times New Roman" w:hAnsi="Times New Roman" w:cs="Times New Roman"/>
          <w:bCs/>
          <w:sz w:val="24"/>
          <w:szCs w:val="24"/>
        </w:rPr>
      </w:pPr>
      <w:r w:rsidRPr="00393268">
        <w:rPr>
          <w:rFonts w:ascii="Times New Roman" w:hAnsi="Times New Roman" w:cs="Times New Roman"/>
          <w:bCs/>
          <w:sz w:val="24"/>
          <w:szCs w:val="24"/>
        </w:rPr>
        <w:t>Dr. David Humphreys</w:t>
      </w:r>
    </w:p>
    <w:p w14:paraId="2A1F2104" w14:textId="4EAD45D4" w:rsidR="00393268" w:rsidRPr="00393268" w:rsidRDefault="00393268" w:rsidP="00393268">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March 22</w:t>
      </w:r>
      <w:r w:rsidRPr="00393268">
        <w:rPr>
          <w:rFonts w:ascii="Times New Roman" w:hAnsi="Times New Roman" w:cs="Times New Roman"/>
          <w:bCs/>
          <w:sz w:val="24"/>
          <w:szCs w:val="24"/>
        </w:rPr>
        <w:t>, 2020</w:t>
      </w:r>
    </w:p>
    <w:p w14:paraId="74300D95" w14:textId="77777777" w:rsidR="00EC50B3" w:rsidRDefault="00EC50B3" w:rsidP="00393268">
      <w:pPr>
        <w:spacing w:after="0" w:line="480" w:lineRule="auto"/>
        <w:rPr>
          <w:rFonts w:ascii="Times New Roman" w:hAnsi="Times New Roman" w:cs="Times New Roman"/>
          <w:sz w:val="24"/>
          <w:szCs w:val="24"/>
        </w:rPr>
      </w:pPr>
    </w:p>
    <w:p w14:paraId="728608FC" w14:textId="77777777" w:rsidR="00EC50B3" w:rsidRDefault="00EC50B3">
      <w:pPr>
        <w:rPr>
          <w:rFonts w:ascii="Times New Roman" w:hAnsi="Times New Roman" w:cs="Times New Roman"/>
          <w:sz w:val="24"/>
          <w:szCs w:val="24"/>
        </w:rPr>
      </w:pPr>
      <w:r>
        <w:rPr>
          <w:rFonts w:ascii="Times New Roman" w:hAnsi="Times New Roman" w:cs="Times New Roman"/>
          <w:sz w:val="24"/>
          <w:szCs w:val="24"/>
        </w:rPr>
        <w:br w:type="page"/>
      </w:r>
    </w:p>
    <w:p w14:paraId="72EB7A93" w14:textId="77777777" w:rsidR="00670452" w:rsidRPr="00670452" w:rsidRDefault="00670452" w:rsidP="00670452">
      <w:pPr>
        <w:pStyle w:val="APA"/>
        <w:ind w:firstLine="0"/>
        <w:jc w:val="center"/>
      </w:pPr>
      <w:r w:rsidRPr="00670452">
        <w:lastRenderedPageBreak/>
        <w:t>The Tax Cuts and Jobs Act</w:t>
      </w:r>
    </w:p>
    <w:p w14:paraId="4ECA5AE1" w14:textId="77777777" w:rsidR="00670452" w:rsidRPr="00670452" w:rsidRDefault="00670452" w:rsidP="00670452">
      <w:pPr>
        <w:pStyle w:val="APA"/>
      </w:pPr>
      <w:r w:rsidRPr="00670452">
        <w:t>In 2017, the Tax Cuts and Jobs Act became a law, which represented an essential overhaul of tax code for more than three decades. TCJA bought reforms that reduced rates of statutory tax of taxable income and changed the threshold for various tax brackets. In the prior tax laws, tax brackets are subjected to inflation using various inflation indexes. Since when the act was signed into law, valuable resources have been published by the Tax Foundation to help people understand what the TCJA changed, and how the US economy will be impacted. The paper analyzes the impact of Tax Cuts and Jobs Act on individual taxpayers, and the related tax planning strategies.</w:t>
      </w:r>
    </w:p>
    <w:p w14:paraId="1C84B85A" w14:textId="28526E20" w:rsidR="00670452" w:rsidRPr="00670452" w:rsidRDefault="00670452" w:rsidP="00670452">
      <w:pPr>
        <w:pStyle w:val="APA"/>
        <w:ind w:firstLine="0"/>
      </w:pPr>
      <w:r w:rsidRPr="00670452">
        <w:rPr>
          <w:b/>
          <w:bCs/>
        </w:rPr>
        <w:t xml:space="preserve">The </w:t>
      </w:r>
      <w:r w:rsidRPr="00670452">
        <w:rPr>
          <w:b/>
          <w:bCs/>
        </w:rPr>
        <w:t xml:space="preserve">Purpose and Objective </w:t>
      </w:r>
      <w:r>
        <w:rPr>
          <w:b/>
          <w:bCs/>
        </w:rPr>
        <w:t>f</w:t>
      </w:r>
      <w:r w:rsidRPr="00670452">
        <w:rPr>
          <w:b/>
          <w:bCs/>
        </w:rPr>
        <w:t xml:space="preserve">or </w:t>
      </w:r>
      <w:r>
        <w:rPr>
          <w:b/>
          <w:bCs/>
        </w:rPr>
        <w:t>t</w:t>
      </w:r>
      <w:r w:rsidRPr="00670452">
        <w:rPr>
          <w:b/>
          <w:bCs/>
        </w:rPr>
        <w:t xml:space="preserve">he Implementation </w:t>
      </w:r>
      <w:r>
        <w:rPr>
          <w:b/>
          <w:bCs/>
        </w:rPr>
        <w:t>o</w:t>
      </w:r>
      <w:r w:rsidRPr="00670452">
        <w:rPr>
          <w:b/>
          <w:bCs/>
        </w:rPr>
        <w:t xml:space="preserve">f </w:t>
      </w:r>
      <w:r>
        <w:rPr>
          <w:b/>
          <w:bCs/>
        </w:rPr>
        <w:t>t</w:t>
      </w:r>
      <w:r w:rsidRPr="00670452">
        <w:rPr>
          <w:b/>
          <w:bCs/>
        </w:rPr>
        <w:t xml:space="preserve">he </w:t>
      </w:r>
      <w:r w:rsidRPr="00670452">
        <w:rPr>
          <w:b/>
          <w:bCs/>
        </w:rPr>
        <w:t xml:space="preserve">Tax Cuts </w:t>
      </w:r>
      <w:r w:rsidR="00593597" w:rsidRPr="00670452">
        <w:rPr>
          <w:b/>
          <w:bCs/>
        </w:rPr>
        <w:t>and</w:t>
      </w:r>
      <w:r w:rsidRPr="00670452">
        <w:rPr>
          <w:b/>
          <w:bCs/>
        </w:rPr>
        <w:t xml:space="preserve"> </w:t>
      </w:r>
      <w:r w:rsidRPr="00670452">
        <w:rPr>
          <w:b/>
          <w:bCs/>
        </w:rPr>
        <w:t>Jobs Act</w:t>
      </w:r>
    </w:p>
    <w:p w14:paraId="2AA10ED7" w14:textId="77777777" w:rsidR="00670452" w:rsidRPr="00670452" w:rsidRDefault="00670452" w:rsidP="00670452">
      <w:pPr>
        <w:pStyle w:val="APA"/>
      </w:pPr>
      <w:r w:rsidRPr="00670452">
        <w:t>The administration of President Trump achieved one of its primary goals through the implementation of a comprehensive tax reform act in over 30 years. The purpose of the Tax Cuts and Jobs Act (TCJA) is to bring tax reduction to families with low and middle incomes in the US and make businesses in the US more competitive. The TCJA changed income tax for individuals, which includes some of the reforms to the itemized deductions and minimum tax and child tax credit and marginal tax rates (York, 1). The objective for implementation was to simplify income tax for households by adopting the new standard deductions, rather than itemizing different deductions and reducing the cost of compliance. The TCJA simplified the process of filing taxes, which translated reduced time wasted by households in filling returns, and real cost saving in the US economy.</w:t>
      </w:r>
    </w:p>
    <w:p w14:paraId="5D4BA36F" w14:textId="465C9AFE" w:rsidR="00553F5D" w:rsidRPr="00553F5D" w:rsidRDefault="00553F5D" w:rsidP="00553F5D">
      <w:pPr>
        <w:pStyle w:val="APA"/>
        <w:ind w:firstLine="0"/>
      </w:pPr>
      <w:r w:rsidRPr="00553F5D">
        <w:rPr>
          <w:b/>
          <w:bCs/>
        </w:rPr>
        <w:t xml:space="preserve">Significant </w:t>
      </w:r>
      <w:r w:rsidRPr="00553F5D">
        <w:rPr>
          <w:b/>
          <w:bCs/>
        </w:rPr>
        <w:t xml:space="preserve">Changes Brought Forth </w:t>
      </w:r>
      <w:r w:rsidRPr="00553F5D">
        <w:rPr>
          <w:b/>
          <w:bCs/>
        </w:rPr>
        <w:t>by the Tax Cuts and Jobs Act</w:t>
      </w:r>
    </w:p>
    <w:p w14:paraId="39C9BE7A" w14:textId="77777777" w:rsidR="00553F5D" w:rsidRPr="00553F5D" w:rsidRDefault="00553F5D" w:rsidP="00553F5D">
      <w:pPr>
        <w:pStyle w:val="APA"/>
        <w:ind w:firstLine="0"/>
        <w:rPr>
          <w:b/>
          <w:bCs/>
          <w:i/>
          <w:iCs/>
        </w:rPr>
      </w:pPr>
      <w:r w:rsidRPr="00553F5D">
        <w:rPr>
          <w:b/>
          <w:bCs/>
          <w:i/>
          <w:iCs/>
        </w:rPr>
        <w:t>Lowering the rate of corporate tax</w:t>
      </w:r>
    </w:p>
    <w:p w14:paraId="0B9D3068" w14:textId="0E94B51C" w:rsidR="00553F5D" w:rsidRPr="00553F5D" w:rsidRDefault="00553F5D" w:rsidP="00553F5D">
      <w:pPr>
        <w:pStyle w:val="APA"/>
      </w:pPr>
      <w:r w:rsidRPr="00553F5D">
        <w:lastRenderedPageBreak/>
        <w:t xml:space="preserve">The TCJA introduced a permanent reduction of the federal corporate tax rate by 14%, which was active from December 2017. Corporations offering personalized services such as legal services, accounting, and health services were put in the same bracket of taxation with government corporations, which converted progressive income tax rates into a flat tax rate (York, </w:t>
      </w:r>
      <w:r>
        <w:t>1</w:t>
      </w:r>
      <w:r w:rsidRPr="00553F5D">
        <w:t>).</w:t>
      </w:r>
    </w:p>
    <w:p w14:paraId="2856B058" w14:textId="77777777" w:rsidR="00553F5D" w:rsidRPr="00553F5D" w:rsidRDefault="00553F5D" w:rsidP="00553F5D">
      <w:pPr>
        <w:pStyle w:val="APA"/>
        <w:ind w:firstLine="0"/>
      </w:pPr>
      <w:r w:rsidRPr="00553F5D">
        <w:rPr>
          <w:i/>
          <w:iCs/>
        </w:rPr>
        <w:t>Advantages</w:t>
      </w:r>
    </w:p>
    <w:p w14:paraId="20B7DA0A" w14:textId="77777777" w:rsidR="00553F5D" w:rsidRPr="00553F5D" w:rsidRDefault="00553F5D" w:rsidP="00553F5D">
      <w:pPr>
        <w:pStyle w:val="APA"/>
        <w:numPr>
          <w:ilvl w:val="0"/>
          <w:numId w:val="43"/>
        </w:numPr>
      </w:pPr>
      <w:r w:rsidRPr="00553F5D">
        <w:t>The reduction in corporate tax rate benefitted workers because productivity will be boosted, and wages in the economy will grow.</w:t>
      </w:r>
    </w:p>
    <w:p w14:paraId="483482B4" w14:textId="77777777" w:rsidR="00553F5D" w:rsidRPr="00553F5D" w:rsidRDefault="00553F5D" w:rsidP="00553F5D">
      <w:pPr>
        <w:pStyle w:val="APA"/>
        <w:numPr>
          <w:ilvl w:val="0"/>
          <w:numId w:val="43"/>
        </w:numPr>
      </w:pPr>
      <w:r w:rsidRPr="00553F5D">
        <w:t>New investments will increase the size of their capital, productivity will grow, and employment will increase in the economy.</w:t>
      </w:r>
    </w:p>
    <w:p w14:paraId="218721C3" w14:textId="77777777" w:rsidR="00553F5D" w:rsidRPr="00553F5D" w:rsidRDefault="00553F5D" w:rsidP="00553F5D">
      <w:pPr>
        <w:pStyle w:val="APA"/>
        <w:ind w:firstLine="0"/>
      </w:pPr>
      <w:r w:rsidRPr="00553F5D">
        <w:rPr>
          <w:i/>
          <w:iCs/>
        </w:rPr>
        <w:t>Disadvantages</w:t>
      </w:r>
    </w:p>
    <w:p w14:paraId="5826FEAB" w14:textId="77777777" w:rsidR="00553F5D" w:rsidRPr="00553F5D" w:rsidRDefault="00553F5D" w:rsidP="00553F5D">
      <w:pPr>
        <w:pStyle w:val="APA"/>
        <w:numPr>
          <w:ilvl w:val="0"/>
          <w:numId w:val="44"/>
        </w:numPr>
      </w:pPr>
      <w:r w:rsidRPr="00553F5D">
        <w:t>The US government will lose tax revenue, which may affect the development agenda of the federal government.</w:t>
      </w:r>
    </w:p>
    <w:p w14:paraId="6B04D53D" w14:textId="576C5AD2" w:rsidR="00553F5D" w:rsidRPr="00553F5D" w:rsidRDefault="00553F5D" w:rsidP="00553F5D">
      <w:pPr>
        <w:pStyle w:val="APA"/>
        <w:numPr>
          <w:ilvl w:val="0"/>
          <w:numId w:val="44"/>
        </w:numPr>
      </w:pPr>
      <w:r w:rsidRPr="00553F5D">
        <w:t xml:space="preserve">The reduction of corporate tax benefitted wealthy shareholders rather than workers (York, </w:t>
      </w:r>
      <w:r>
        <w:t>1</w:t>
      </w:r>
      <w:r w:rsidRPr="00553F5D">
        <w:t>).</w:t>
      </w:r>
    </w:p>
    <w:p w14:paraId="33756D50" w14:textId="77777777" w:rsidR="00553F5D" w:rsidRPr="00553F5D" w:rsidRDefault="00553F5D" w:rsidP="00553F5D">
      <w:pPr>
        <w:pStyle w:val="APA"/>
        <w:ind w:firstLine="0"/>
        <w:rPr>
          <w:b/>
          <w:bCs/>
          <w:i/>
          <w:iCs/>
        </w:rPr>
      </w:pPr>
      <w:r w:rsidRPr="00553F5D">
        <w:rPr>
          <w:b/>
          <w:bCs/>
          <w:i/>
          <w:iCs/>
        </w:rPr>
        <w:t>Pass-through income deductions</w:t>
      </w:r>
    </w:p>
    <w:p w14:paraId="3AEF5C1F" w14:textId="41E1E58F" w:rsidR="00553F5D" w:rsidRPr="00553F5D" w:rsidRDefault="00553F5D" w:rsidP="00553F5D">
      <w:pPr>
        <w:pStyle w:val="APA"/>
      </w:pPr>
      <w:r w:rsidRPr="00553F5D">
        <w:t>The TCJA adopted the reduction of tax rates that is applicable to individuals’ ordinary income. The top marginal rate dropped from 39.6% to 37%. The legislation allowed a 20% deduction of taxes, but subject to limitations (Tax Policy Center, 2).</w:t>
      </w:r>
    </w:p>
    <w:p w14:paraId="0BADE4BC" w14:textId="77777777" w:rsidR="00553F5D" w:rsidRPr="00553F5D" w:rsidRDefault="00553F5D" w:rsidP="00553F5D">
      <w:pPr>
        <w:pStyle w:val="APA"/>
        <w:ind w:firstLine="0"/>
      </w:pPr>
      <w:r w:rsidRPr="00553F5D">
        <w:rPr>
          <w:i/>
          <w:iCs/>
        </w:rPr>
        <w:t>Advantages</w:t>
      </w:r>
    </w:p>
    <w:p w14:paraId="292CC11D" w14:textId="77777777" w:rsidR="00553F5D" w:rsidRPr="00553F5D" w:rsidRDefault="00553F5D" w:rsidP="00553F5D">
      <w:pPr>
        <w:pStyle w:val="APA"/>
        <w:numPr>
          <w:ilvl w:val="0"/>
          <w:numId w:val="45"/>
        </w:numPr>
      </w:pPr>
      <w:r w:rsidRPr="00553F5D">
        <w:t>Reduced the chances of double taxation which happens when corporations when dividends are taxed in corporate and shareholder levels</w:t>
      </w:r>
    </w:p>
    <w:p w14:paraId="34F92D95" w14:textId="5A655CC5" w:rsidR="00553F5D" w:rsidRPr="00553F5D" w:rsidRDefault="00553F5D" w:rsidP="00553F5D">
      <w:pPr>
        <w:pStyle w:val="APA"/>
        <w:numPr>
          <w:ilvl w:val="0"/>
          <w:numId w:val="45"/>
        </w:numPr>
      </w:pPr>
      <w:r w:rsidRPr="00553F5D">
        <w:lastRenderedPageBreak/>
        <w:t>Reducing the marginal individual tax rates encourages people to start new businesses (independent contractors) because individual employers are taxed lowly (Tax Policy Center, 2).</w:t>
      </w:r>
    </w:p>
    <w:p w14:paraId="565681DF" w14:textId="77777777" w:rsidR="00553F5D" w:rsidRPr="00553F5D" w:rsidRDefault="00553F5D" w:rsidP="00553F5D">
      <w:pPr>
        <w:pStyle w:val="APA"/>
        <w:ind w:firstLine="0"/>
      </w:pPr>
      <w:r w:rsidRPr="00553F5D">
        <w:rPr>
          <w:i/>
          <w:iCs/>
        </w:rPr>
        <w:t>Disadvantages</w:t>
      </w:r>
    </w:p>
    <w:p w14:paraId="4FC1328F" w14:textId="77777777" w:rsidR="00553F5D" w:rsidRPr="00553F5D" w:rsidRDefault="00553F5D" w:rsidP="00553F5D">
      <w:pPr>
        <w:pStyle w:val="APA"/>
        <w:numPr>
          <w:ilvl w:val="0"/>
          <w:numId w:val="46"/>
        </w:numPr>
      </w:pPr>
      <w:r w:rsidRPr="00553F5D">
        <w:t>The pass-through deduction provided tax breaks for independent employers (contractors) and not the employees.</w:t>
      </w:r>
    </w:p>
    <w:p w14:paraId="41BD7D07" w14:textId="2647E91E" w:rsidR="00553F5D" w:rsidRPr="00553F5D" w:rsidRDefault="00553F5D" w:rsidP="00553F5D">
      <w:pPr>
        <w:pStyle w:val="APA"/>
        <w:numPr>
          <w:ilvl w:val="0"/>
          <w:numId w:val="46"/>
        </w:numPr>
      </w:pPr>
      <w:r w:rsidRPr="00553F5D">
        <w:t>The changes could encourage firms to have arrangements that can remove workers from direct employment, which will lead to lower wages and benefits to the affected employees (Tax Policy Center, 2).</w:t>
      </w:r>
    </w:p>
    <w:p w14:paraId="1D7250A9" w14:textId="77777777" w:rsidR="00553F5D" w:rsidRPr="00553F5D" w:rsidRDefault="00553F5D" w:rsidP="00553F5D">
      <w:pPr>
        <w:pStyle w:val="APA"/>
        <w:ind w:firstLine="0"/>
        <w:rPr>
          <w:b/>
          <w:bCs/>
          <w:i/>
          <w:iCs/>
        </w:rPr>
      </w:pPr>
      <w:r w:rsidRPr="00553F5D">
        <w:rPr>
          <w:b/>
          <w:bCs/>
          <w:i/>
          <w:iCs/>
        </w:rPr>
        <w:t>Interest deductibility</w:t>
      </w:r>
    </w:p>
    <w:p w14:paraId="458D1213" w14:textId="7FDC8BFA" w:rsidR="00553F5D" w:rsidRPr="00553F5D" w:rsidRDefault="00553F5D" w:rsidP="00553F5D">
      <w:pPr>
        <w:pStyle w:val="APA"/>
      </w:pPr>
      <w:r w:rsidRPr="00553F5D">
        <w:t xml:space="preserve">The TCJA modified the IR code that limited the deduction of interest from businesses to 30% of the taxable income, but subject to various restrictions for the tax year that began in December 2017. Some taxpayers were excluded from this limitation, which includes corporations will annual revenue of less than $25 million, public utilities that are regulated, and farming businesses (Hunt, </w:t>
      </w:r>
      <w:r>
        <w:t>3</w:t>
      </w:r>
      <w:r w:rsidRPr="00553F5D">
        <w:t>).</w:t>
      </w:r>
    </w:p>
    <w:p w14:paraId="4FFB42F6" w14:textId="77777777" w:rsidR="00553F5D" w:rsidRPr="00553F5D" w:rsidRDefault="00553F5D" w:rsidP="00553F5D">
      <w:pPr>
        <w:pStyle w:val="APA"/>
        <w:ind w:firstLine="0"/>
      </w:pPr>
      <w:r w:rsidRPr="00553F5D">
        <w:rPr>
          <w:i/>
          <w:iCs/>
        </w:rPr>
        <w:t>Advantages</w:t>
      </w:r>
    </w:p>
    <w:p w14:paraId="7544ABF5" w14:textId="77777777" w:rsidR="00553F5D" w:rsidRPr="00553F5D" w:rsidRDefault="00553F5D" w:rsidP="00553F5D">
      <w:pPr>
        <w:pStyle w:val="APA"/>
        <w:numPr>
          <w:ilvl w:val="0"/>
          <w:numId w:val="47"/>
        </w:numPr>
      </w:pPr>
      <w:r w:rsidRPr="00553F5D">
        <w:t>Helps businesses to improve their revenue and profits through interest rate reduction</w:t>
      </w:r>
    </w:p>
    <w:p w14:paraId="6685D8FA" w14:textId="77777777" w:rsidR="00553F5D" w:rsidRPr="00553F5D" w:rsidRDefault="00553F5D" w:rsidP="00553F5D">
      <w:pPr>
        <w:pStyle w:val="APA"/>
        <w:numPr>
          <w:ilvl w:val="0"/>
          <w:numId w:val="47"/>
        </w:numPr>
      </w:pPr>
      <w:r w:rsidRPr="00553F5D">
        <w:t>Increased business productivity, growth of wages, and economic growth</w:t>
      </w:r>
    </w:p>
    <w:p w14:paraId="37E1DC24" w14:textId="77777777" w:rsidR="00553F5D" w:rsidRPr="00553F5D" w:rsidRDefault="00553F5D" w:rsidP="00553F5D">
      <w:pPr>
        <w:pStyle w:val="APA"/>
        <w:ind w:firstLine="0"/>
      </w:pPr>
      <w:r w:rsidRPr="00553F5D">
        <w:rPr>
          <w:i/>
          <w:iCs/>
        </w:rPr>
        <w:t>Disadvantages</w:t>
      </w:r>
    </w:p>
    <w:p w14:paraId="6EC72B70" w14:textId="77777777" w:rsidR="00553F5D" w:rsidRPr="00553F5D" w:rsidRDefault="00553F5D" w:rsidP="00553F5D">
      <w:pPr>
        <w:pStyle w:val="APA"/>
        <w:numPr>
          <w:ilvl w:val="0"/>
          <w:numId w:val="48"/>
        </w:numPr>
      </w:pPr>
      <w:r w:rsidRPr="00553F5D">
        <w:t>Corporates lending money to businesses will lose interest in revenue, which in turn will reduce government revenue.</w:t>
      </w:r>
    </w:p>
    <w:p w14:paraId="69DA6A23" w14:textId="2DCDF343" w:rsidR="00553F5D" w:rsidRPr="00553F5D" w:rsidRDefault="00553F5D" w:rsidP="00553F5D">
      <w:pPr>
        <w:pStyle w:val="APA"/>
        <w:numPr>
          <w:ilvl w:val="0"/>
          <w:numId w:val="48"/>
        </w:numPr>
      </w:pPr>
      <w:r w:rsidRPr="00553F5D">
        <w:lastRenderedPageBreak/>
        <w:t xml:space="preserve">The limitation that was adopted in the interest deductibility made acquisitions through debt financing less attractive, but the reduction of federal corporate tax would alleviate this problem (Hunt, </w:t>
      </w:r>
      <w:r>
        <w:t>3</w:t>
      </w:r>
      <w:r w:rsidRPr="00553F5D">
        <w:t>).</w:t>
      </w:r>
    </w:p>
    <w:p w14:paraId="7D27312F" w14:textId="154038F3" w:rsidR="00A71914" w:rsidRPr="00A71914" w:rsidRDefault="00A71914" w:rsidP="00A71914">
      <w:pPr>
        <w:pStyle w:val="APA"/>
        <w:ind w:firstLine="0"/>
        <w:rPr>
          <w:b/>
          <w:bCs/>
        </w:rPr>
      </w:pPr>
      <w:r w:rsidRPr="00A71914">
        <w:rPr>
          <w:b/>
          <w:bCs/>
        </w:rPr>
        <w:t xml:space="preserve">Impact of </w:t>
      </w:r>
      <w:r w:rsidRPr="00A71914">
        <w:rPr>
          <w:b/>
          <w:bCs/>
        </w:rPr>
        <w:t xml:space="preserve">Each Change </w:t>
      </w:r>
      <w:r w:rsidRPr="00A71914">
        <w:rPr>
          <w:b/>
          <w:bCs/>
        </w:rPr>
        <w:t xml:space="preserve">on </w:t>
      </w:r>
      <w:r w:rsidRPr="00A71914">
        <w:rPr>
          <w:b/>
          <w:bCs/>
        </w:rPr>
        <w:t>Taxpaye</w:t>
      </w:r>
      <w:r w:rsidRPr="00A71914">
        <w:rPr>
          <w:b/>
          <w:bCs/>
        </w:rPr>
        <w:t>r</w:t>
      </w:r>
    </w:p>
    <w:p w14:paraId="6396E217" w14:textId="77777777" w:rsidR="00A71914" w:rsidRPr="00A71914" w:rsidRDefault="00A71914" w:rsidP="00A71914">
      <w:pPr>
        <w:pStyle w:val="APA"/>
        <w:ind w:firstLine="0"/>
        <w:rPr>
          <w:b/>
          <w:bCs/>
          <w:i/>
          <w:iCs/>
        </w:rPr>
      </w:pPr>
      <w:r w:rsidRPr="00A71914">
        <w:rPr>
          <w:b/>
          <w:bCs/>
          <w:i/>
          <w:iCs/>
        </w:rPr>
        <w:t>Lowering the rate of corporate tax</w:t>
      </w:r>
    </w:p>
    <w:p w14:paraId="2E6C7CAD" w14:textId="77777777" w:rsidR="00A71914" w:rsidRDefault="00A71914" w:rsidP="00A71914">
      <w:pPr>
        <w:pStyle w:val="APA"/>
      </w:pPr>
      <w:r>
        <w:t>Reducing the corporate tax rate will benefit the taxpayer as an individual because it will lead to wage growth for the employees. Also, more jobs will be created in corporations, which will benefit taxpayers. Families will benefit from increased wages and high employment through improved standards of living when corporate taxes are reduced (Watson, 4).</w:t>
      </w:r>
    </w:p>
    <w:p w14:paraId="12F7B70B" w14:textId="77777777" w:rsidR="00A71914" w:rsidRPr="00A71914" w:rsidRDefault="00A71914" w:rsidP="00A71914">
      <w:pPr>
        <w:pStyle w:val="APA"/>
        <w:ind w:firstLine="0"/>
        <w:rPr>
          <w:b/>
          <w:bCs/>
          <w:i/>
          <w:iCs/>
        </w:rPr>
      </w:pPr>
      <w:r w:rsidRPr="00A71914">
        <w:rPr>
          <w:b/>
          <w:bCs/>
          <w:i/>
          <w:iCs/>
        </w:rPr>
        <w:t>Pass-through income</w:t>
      </w:r>
    </w:p>
    <w:p w14:paraId="4435CB55" w14:textId="77777777" w:rsidR="00A71914" w:rsidRDefault="00A71914" w:rsidP="00A71914">
      <w:pPr>
        <w:pStyle w:val="APA"/>
      </w:pPr>
      <w:r>
        <w:t>Pass-through income deduction will impact an individual taxpayer by reducing the chances of double taxation that may happen in their dividends and their income. Eliminating double taxation will improve the revenue generated by the individual taxpayer. As a family, pass-through income deduction will improve standards of living because many families will be encouraged to start new investments due to high tax incentives provided in the pass-through income deductions changes in the TCJA (Watson, 4).</w:t>
      </w:r>
    </w:p>
    <w:p w14:paraId="5EC64768" w14:textId="77777777" w:rsidR="00A71914" w:rsidRPr="00A71914" w:rsidRDefault="00A71914" w:rsidP="00A71914">
      <w:pPr>
        <w:pStyle w:val="APA"/>
        <w:ind w:firstLine="0"/>
        <w:rPr>
          <w:b/>
          <w:bCs/>
          <w:i/>
          <w:iCs/>
        </w:rPr>
      </w:pPr>
      <w:r w:rsidRPr="00A71914">
        <w:rPr>
          <w:b/>
          <w:bCs/>
          <w:i/>
          <w:iCs/>
        </w:rPr>
        <w:t>Interest deductibility</w:t>
      </w:r>
    </w:p>
    <w:p w14:paraId="77D2201D" w14:textId="77AE3E37" w:rsidR="00706B4C" w:rsidRDefault="00A71914" w:rsidP="00A71914">
      <w:pPr>
        <w:pStyle w:val="APA"/>
      </w:pPr>
      <w:r>
        <w:t>Changes related to interest deductibility will benefit individual taxpayers through increased wages. When inters on businesses is lowered, employees’ wages are likely to increase, which will improve the living conditions of individual taxpayers and that of their family (Hunt, 3).</w:t>
      </w:r>
    </w:p>
    <w:p w14:paraId="338B18D8" w14:textId="0CA1B8F4" w:rsidR="00A71914" w:rsidRPr="00A71914" w:rsidRDefault="00A71914" w:rsidP="00A71914">
      <w:pPr>
        <w:pStyle w:val="APA"/>
        <w:ind w:firstLine="0"/>
      </w:pPr>
      <w:r w:rsidRPr="00A71914">
        <w:rPr>
          <w:b/>
          <w:bCs/>
        </w:rPr>
        <w:t xml:space="preserve">Recommended </w:t>
      </w:r>
      <w:r w:rsidRPr="00A71914">
        <w:rPr>
          <w:b/>
          <w:bCs/>
        </w:rPr>
        <w:t>Tax Planning Strategies to Maximize Tax Savings</w:t>
      </w:r>
    </w:p>
    <w:p w14:paraId="1B4F76CD" w14:textId="0141B4A1" w:rsidR="00A71914" w:rsidRPr="00A71914" w:rsidRDefault="00A71914" w:rsidP="00A71914">
      <w:pPr>
        <w:pStyle w:val="APA"/>
      </w:pPr>
      <w:r w:rsidRPr="00A71914">
        <w:lastRenderedPageBreak/>
        <w:t>First, corporations can be recommended to engage in investment activities that can produce income that is exempted from taxation.</w:t>
      </w:r>
      <w:r>
        <w:t xml:space="preserve"> </w:t>
      </w:r>
      <w:r w:rsidRPr="00A71914">
        <w:t xml:space="preserve">Some of the investments include domestic production, and orphan drug credits, which enjoy high tax reduction; </w:t>
      </w:r>
      <w:r w:rsidRPr="00A71914">
        <w:t>thus,</w:t>
      </w:r>
      <w:r w:rsidRPr="00A71914">
        <w:t xml:space="preserve"> helping organizations to save on taxes. Secondly, in pass-through deduction, employees are advised to start their independent contracting firms, such as plumbing, electrical firms, and masonry, which enjoy high tax breaks, thus enabling employees to enjoy high savings on taxes (Watson, </w:t>
      </w:r>
      <w:r>
        <w:t>4</w:t>
      </w:r>
      <w:r w:rsidRPr="00A71914">
        <w:t>). Finally,</w:t>
      </w:r>
      <w:r>
        <w:t xml:space="preserve"> </w:t>
      </w:r>
      <w:r w:rsidRPr="00A71914">
        <w:t>in interest deductibility, businesses can defer certain tax liabilities through investing in choices that incur low tax liabilities such as pension plans and contributions. Also, businesses can invest in mortgage loans that attract low tax and inter rates.</w:t>
      </w:r>
    </w:p>
    <w:p w14:paraId="4552677B" w14:textId="77777777" w:rsidR="00B14497" w:rsidRDefault="00B14497" w:rsidP="00882BD1">
      <w:pPr>
        <w:pStyle w:val="APA"/>
        <w:ind w:firstLine="0"/>
      </w:pPr>
      <w:bookmarkStart w:id="1" w:name="_GoBack"/>
      <w:bookmarkEnd w:id="1"/>
    </w:p>
    <w:p w14:paraId="3BD843F6" w14:textId="7C511949" w:rsidR="00863DB5" w:rsidRPr="0000163D" w:rsidRDefault="00863DB5" w:rsidP="0000163D">
      <w:pPr>
        <w:pStyle w:val="APA"/>
      </w:pPr>
      <w:r>
        <w:rPr>
          <w:bCs/>
        </w:rPr>
        <w:br w:type="page"/>
      </w:r>
    </w:p>
    <w:p w14:paraId="5728EEE4" w14:textId="77777777" w:rsidR="0000163D" w:rsidRPr="0000163D" w:rsidRDefault="0000163D" w:rsidP="0000163D">
      <w:pPr>
        <w:pStyle w:val="APA"/>
        <w:ind w:firstLine="0"/>
        <w:jc w:val="center"/>
        <w:rPr>
          <w:bCs/>
        </w:rPr>
      </w:pPr>
      <w:r w:rsidRPr="0000163D">
        <w:rPr>
          <w:bCs/>
        </w:rPr>
        <w:lastRenderedPageBreak/>
        <w:t>Sources</w:t>
      </w:r>
    </w:p>
    <w:p w14:paraId="71A51C06" w14:textId="26E1A480" w:rsidR="00A71914" w:rsidRPr="00A71914" w:rsidRDefault="00A71914" w:rsidP="00A71914">
      <w:pPr>
        <w:pStyle w:val="APA"/>
        <w:numPr>
          <w:ilvl w:val="0"/>
          <w:numId w:val="49"/>
        </w:numPr>
      </w:pPr>
      <w:r w:rsidRPr="00A71914">
        <w:t>York</w:t>
      </w:r>
      <w:r w:rsidRPr="00A71914">
        <w:t>.</w:t>
      </w:r>
      <w:r w:rsidRPr="00A71914">
        <w:t xml:space="preserve"> 2020.</w:t>
      </w:r>
      <w:r w:rsidRPr="00A71914">
        <w:t xml:space="preserve"> </w:t>
      </w:r>
      <w:r w:rsidRPr="00A71914">
        <w:t>The Benefits of Cutting the Corporate Income Tax Rate. Tax Foundation.</w:t>
      </w:r>
      <w:r w:rsidRPr="00A71914">
        <w:t xml:space="preserve"> </w:t>
      </w:r>
      <w:r w:rsidRPr="00A71914">
        <w:t>https://taxfoundation.org/benefits-of-a-corporate-tax-cut/</w:t>
      </w:r>
    </w:p>
    <w:p w14:paraId="61D008ED" w14:textId="656049F9" w:rsidR="00A71914" w:rsidRPr="00A71914" w:rsidRDefault="00A71914" w:rsidP="00A71914">
      <w:pPr>
        <w:pStyle w:val="APA"/>
        <w:numPr>
          <w:ilvl w:val="0"/>
          <w:numId w:val="49"/>
        </w:numPr>
      </w:pPr>
      <w:r w:rsidRPr="00A71914">
        <w:t>Tax Policy Center. 2018.</w:t>
      </w:r>
      <w:r>
        <w:t xml:space="preserve"> </w:t>
      </w:r>
      <w:r w:rsidRPr="00A71914">
        <w:t>How Did the Tax Cuts and Jobs Act Change Business Taxes?</w:t>
      </w:r>
      <w:r>
        <w:t xml:space="preserve"> </w:t>
      </w:r>
      <w:r w:rsidRPr="00A71914">
        <w:t>https://www.taxpolicycenter.org/briefing-book/how-did-tax-cuts-and-jobs-act-change-business-taxes</w:t>
      </w:r>
    </w:p>
    <w:p w14:paraId="07BC1EEA" w14:textId="4E43D294" w:rsidR="00A71914" w:rsidRPr="00A71914" w:rsidRDefault="00A71914" w:rsidP="00A71914">
      <w:pPr>
        <w:pStyle w:val="APA"/>
        <w:numPr>
          <w:ilvl w:val="0"/>
          <w:numId w:val="49"/>
        </w:numPr>
      </w:pPr>
      <w:r w:rsidRPr="00A71914">
        <w:t>Hunt. 2018.</w:t>
      </w:r>
      <w:r w:rsidRPr="00A71914">
        <w:t xml:space="preserve"> </w:t>
      </w:r>
      <w:r w:rsidRPr="00A71914">
        <w:t>Summary of Significant Changes under the Tax Cuts and Jobs</w:t>
      </w:r>
      <w:r w:rsidRPr="00A71914">
        <w:t xml:space="preserve"> </w:t>
      </w:r>
      <w:r w:rsidRPr="00A71914">
        <w:t>Act of 2017. Morse | Corporate, IP, Employment, Litigation,</w:t>
      </w:r>
      <w:r w:rsidRPr="00A71914">
        <w:t xml:space="preserve"> </w:t>
      </w:r>
      <w:r w:rsidRPr="00A71914">
        <w:t>Taxation.</w:t>
      </w:r>
      <w:r w:rsidRPr="00A71914">
        <w:t xml:space="preserve"> </w:t>
      </w:r>
      <w:r w:rsidRPr="00A71914">
        <w:t>https://www.morse.law/news/significant-changes-under-the-tax-cuts-jobs-act-2017</w:t>
      </w:r>
    </w:p>
    <w:p w14:paraId="0D648D4C" w14:textId="76DA08F6" w:rsidR="00A71914" w:rsidRPr="00A71914" w:rsidRDefault="00A71914" w:rsidP="00A71914">
      <w:pPr>
        <w:pStyle w:val="APA"/>
        <w:numPr>
          <w:ilvl w:val="0"/>
          <w:numId w:val="49"/>
        </w:numPr>
      </w:pPr>
      <w:r w:rsidRPr="00A71914">
        <w:t>Watson. 2020.</w:t>
      </w:r>
      <w:r w:rsidRPr="00A71914">
        <w:t xml:space="preserve"> </w:t>
      </w:r>
      <w:r w:rsidRPr="00A71914">
        <w:t>Treasury Regulations for the Tax Cuts and Jobs Act Surpass 1,000</w:t>
      </w:r>
      <w:r w:rsidRPr="00A71914">
        <w:t xml:space="preserve"> </w:t>
      </w:r>
      <w:r w:rsidRPr="00A71914">
        <w:t>Pages Two Years After Passage. Tax Foundation.</w:t>
      </w:r>
      <w:r w:rsidRPr="00A71914">
        <w:t xml:space="preserve"> </w:t>
      </w:r>
      <w:r w:rsidRPr="00A71914">
        <w:t>https://taxfoundation.org/treasury-regulations-for-the-tcja/</w:t>
      </w:r>
    </w:p>
    <w:p w14:paraId="7483E150" w14:textId="23CA47ED" w:rsidR="00A71914" w:rsidRDefault="00A71914" w:rsidP="00A71914">
      <w:pPr>
        <w:pStyle w:val="APA"/>
        <w:ind w:firstLine="0"/>
      </w:pPr>
    </w:p>
    <w:sectPr w:rsidR="00A71914" w:rsidSect="006A008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99394" w14:textId="77777777" w:rsidR="00C31758" w:rsidRDefault="00C31758" w:rsidP="00152347">
      <w:pPr>
        <w:spacing w:after="0" w:line="240" w:lineRule="auto"/>
      </w:pPr>
      <w:r>
        <w:separator/>
      </w:r>
    </w:p>
  </w:endnote>
  <w:endnote w:type="continuationSeparator" w:id="0">
    <w:p w14:paraId="54B7001E" w14:textId="77777777" w:rsidR="00C31758" w:rsidRDefault="00C31758" w:rsidP="0015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61A14" w14:textId="77777777" w:rsidR="00C31758" w:rsidRDefault="00C31758" w:rsidP="00152347">
      <w:pPr>
        <w:spacing w:after="0" w:line="240" w:lineRule="auto"/>
      </w:pPr>
      <w:r>
        <w:separator/>
      </w:r>
    </w:p>
  </w:footnote>
  <w:footnote w:type="continuationSeparator" w:id="0">
    <w:p w14:paraId="0038FD76" w14:textId="77777777" w:rsidR="00C31758" w:rsidRDefault="00C31758" w:rsidP="0015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109311024"/>
      <w:docPartObj>
        <w:docPartGallery w:val="Page Numbers (Top of Page)"/>
        <w:docPartUnique/>
      </w:docPartObj>
    </w:sdtPr>
    <w:sdtEndPr>
      <w:rPr>
        <w:noProof/>
      </w:rPr>
    </w:sdtEndPr>
    <w:sdtContent>
      <w:p w14:paraId="22C7B5BD" w14:textId="77777777" w:rsidR="00152347" w:rsidRPr="0003091C" w:rsidRDefault="002A4DDE">
        <w:pPr>
          <w:pStyle w:val="Header"/>
          <w:rPr>
            <w:rFonts w:ascii="Times New Roman" w:hAnsi="Times New Roman" w:cs="Times New Roman"/>
            <w:bCs/>
            <w:sz w:val="24"/>
            <w:szCs w:val="24"/>
          </w:rPr>
        </w:pPr>
        <w:r>
          <w:rPr>
            <w:rFonts w:ascii="Times New Roman" w:hAnsi="Times New Roman" w:cs="Times New Roman"/>
            <w:bCs/>
            <w:sz w:val="24"/>
            <w:szCs w:val="24"/>
          </w:rPr>
          <w:tab/>
        </w:r>
        <w:r w:rsidR="006C4140">
          <w:rPr>
            <w:rFonts w:ascii="Times New Roman" w:hAnsi="Times New Roman" w:cs="Times New Roman"/>
            <w:bCs/>
            <w:sz w:val="24"/>
            <w:szCs w:val="24"/>
          </w:rPr>
          <w:tab/>
        </w:r>
        <w:r w:rsidR="00152347" w:rsidRPr="00026381">
          <w:rPr>
            <w:rFonts w:ascii="Times New Roman" w:hAnsi="Times New Roman" w:cs="Times New Roman"/>
            <w:sz w:val="24"/>
            <w:szCs w:val="24"/>
          </w:rPr>
          <w:fldChar w:fldCharType="begin"/>
        </w:r>
        <w:r w:rsidR="00152347" w:rsidRPr="00026381">
          <w:rPr>
            <w:rFonts w:ascii="Times New Roman" w:hAnsi="Times New Roman" w:cs="Times New Roman"/>
            <w:sz w:val="24"/>
            <w:szCs w:val="24"/>
          </w:rPr>
          <w:instrText xml:space="preserve"> PAGE   \* MERGEFORMAT </w:instrText>
        </w:r>
        <w:r w:rsidR="00152347" w:rsidRPr="00026381">
          <w:rPr>
            <w:rFonts w:ascii="Times New Roman" w:hAnsi="Times New Roman" w:cs="Times New Roman"/>
            <w:sz w:val="24"/>
            <w:szCs w:val="24"/>
          </w:rPr>
          <w:fldChar w:fldCharType="separate"/>
        </w:r>
        <w:r w:rsidR="006A0DB8">
          <w:rPr>
            <w:rFonts w:ascii="Times New Roman" w:hAnsi="Times New Roman" w:cs="Times New Roman"/>
            <w:noProof/>
            <w:sz w:val="24"/>
            <w:szCs w:val="24"/>
          </w:rPr>
          <w:t>7</w:t>
        </w:r>
        <w:r w:rsidR="00152347" w:rsidRPr="00026381">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38001958"/>
      <w:docPartObj>
        <w:docPartGallery w:val="Page Numbers (Top of Page)"/>
        <w:docPartUnique/>
      </w:docPartObj>
    </w:sdtPr>
    <w:sdtEndPr>
      <w:rPr>
        <w:noProof/>
      </w:rPr>
    </w:sdtEndPr>
    <w:sdtContent>
      <w:p w14:paraId="5D3999A2" w14:textId="77777777" w:rsidR="00152347" w:rsidRPr="0003091C" w:rsidRDefault="0003091C">
        <w:pPr>
          <w:pStyle w:val="Header"/>
          <w:rPr>
            <w:rFonts w:ascii="Times New Roman" w:hAnsi="Times New Roman" w:cs="Times New Roman"/>
            <w:bCs/>
            <w:sz w:val="24"/>
            <w:szCs w:val="24"/>
          </w:rPr>
        </w:pPr>
        <w:r>
          <w:rPr>
            <w:rFonts w:ascii="Times New Roman" w:hAnsi="Times New Roman" w:cs="Times New Roman"/>
            <w:sz w:val="24"/>
            <w:szCs w:val="24"/>
          </w:rPr>
          <w:tab/>
        </w:r>
        <w:r w:rsidR="00F22447">
          <w:rPr>
            <w:rFonts w:ascii="Times New Roman" w:hAnsi="Times New Roman" w:cs="Times New Roman"/>
            <w:bCs/>
            <w:sz w:val="24"/>
            <w:szCs w:val="24"/>
          </w:rPr>
          <w:tab/>
        </w:r>
        <w:r>
          <w:rPr>
            <w:rFonts w:ascii="Times New Roman" w:hAnsi="Times New Roman" w:cs="Times New Roman"/>
            <w:bCs/>
            <w:sz w:val="24"/>
            <w:szCs w:val="24"/>
          </w:rPr>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5E8"/>
    <w:multiLevelType w:val="multilevel"/>
    <w:tmpl w:val="D7D4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26245"/>
    <w:multiLevelType w:val="hybridMultilevel"/>
    <w:tmpl w:val="59EACD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3D1D33"/>
    <w:multiLevelType w:val="multilevel"/>
    <w:tmpl w:val="C3A427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B26D3"/>
    <w:multiLevelType w:val="multilevel"/>
    <w:tmpl w:val="5FE2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270A3"/>
    <w:multiLevelType w:val="multilevel"/>
    <w:tmpl w:val="CF6E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356A3"/>
    <w:multiLevelType w:val="multilevel"/>
    <w:tmpl w:val="016C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82144"/>
    <w:multiLevelType w:val="multilevel"/>
    <w:tmpl w:val="E452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E2170"/>
    <w:multiLevelType w:val="multilevel"/>
    <w:tmpl w:val="042C87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61BD2"/>
    <w:multiLevelType w:val="multilevel"/>
    <w:tmpl w:val="FFC8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437DD"/>
    <w:multiLevelType w:val="multilevel"/>
    <w:tmpl w:val="C3E6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B4CC3"/>
    <w:multiLevelType w:val="multilevel"/>
    <w:tmpl w:val="2A5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C4744"/>
    <w:multiLevelType w:val="multilevel"/>
    <w:tmpl w:val="9896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4275B"/>
    <w:multiLevelType w:val="multilevel"/>
    <w:tmpl w:val="1BE8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1064B"/>
    <w:multiLevelType w:val="hybridMultilevel"/>
    <w:tmpl w:val="6AA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90607"/>
    <w:multiLevelType w:val="multilevel"/>
    <w:tmpl w:val="B786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7429A"/>
    <w:multiLevelType w:val="multilevel"/>
    <w:tmpl w:val="95C05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7F35D2"/>
    <w:multiLevelType w:val="multilevel"/>
    <w:tmpl w:val="02F6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4656A0"/>
    <w:multiLevelType w:val="hybridMultilevel"/>
    <w:tmpl w:val="A2006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6B267A"/>
    <w:multiLevelType w:val="multilevel"/>
    <w:tmpl w:val="9F5E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DF1F9F"/>
    <w:multiLevelType w:val="multilevel"/>
    <w:tmpl w:val="A6CA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E82DA7"/>
    <w:multiLevelType w:val="multilevel"/>
    <w:tmpl w:val="419C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70ECB"/>
    <w:multiLevelType w:val="multilevel"/>
    <w:tmpl w:val="639EF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1648FE"/>
    <w:multiLevelType w:val="multilevel"/>
    <w:tmpl w:val="D8D4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566A1"/>
    <w:multiLevelType w:val="multilevel"/>
    <w:tmpl w:val="D872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9C1239"/>
    <w:multiLevelType w:val="multilevel"/>
    <w:tmpl w:val="A2FA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BE65C3"/>
    <w:multiLevelType w:val="multilevel"/>
    <w:tmpl w:val="63F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256446"/>
    <w:multiLevelType w:val="multilevel"/>
    <w:tmpl w:val="1906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420AB"/>
    <w:multiLevelType w:val="multilevel"/>
    <w:tmpl w:val="D134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3B5A15"/>
    <w:multiLevelType w:val="multilevel"/>
    <w:tmpl w:val="4FB65A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A8158C"/>
    <w:multiLevelType w:val="multilevel"/>
    <w:tmpl w:val="C716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3B65BE"/>
    <w:multiLevelType w:val="multilevel"/>
    <w:tmpl w:val="0DA6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314355"/>
    <w:multiLevelType w:val="multilevel"/>
    <w:tmpl w:val="867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A77F2B"/>
    <w:multiLevelType w:val="hybridMultilevel"/>
    <w:tmpl w:val="E87C9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4852F2"/>
    <w:multiLevelType w:val="hybridMultilevel"/>
    <w:tmpl w:val="E460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84B42"/>
    <w:multiLevelType w:val="multilevel"/>
    <w:tmpl w:val="D35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4F1A76"/>
    <w:multiLevelType w:val="multilevel"/>
    <w:tmpl w:val="8A3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F00B5"/>
    <w:multiLevelType w:val="hybridMultilevel"/>
    <w:tmpl w:val="A65A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F7526"/>
    <w:multiLevelType w:val="multilevel"/>
    <w:tmpl w:val="1E14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15577A"/>
    <w:multiLevelType w:val="multilevel"/>
    <w:tmpl w:val="3DEC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281C2A"/>
    <w:multiLevelType w:val="multilevel"/>
    <w:tmpl w:val="4372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7772E8"/>
    <w:multiLevelType w:val="hybridMultilevel"/>
    <w:tmpl w:val="0A803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834882"/>
    <w:multiLevelType w:val="multilevel"/>
    <w:tmpl w:val="EB1A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A205E6"/>
    <w:multiLevelType w:val="hybridMultilevel"/>
    <w:tmpl w:val="005415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5411AA"/>
    <w:multiLevelType w:val="multilevel"/>
    <w:tmpl w:val="976A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B16BDE"/>
    <w:multiLevelType w:val="hybridMultilevel"/>
    <w:tmpl w:val="FE42E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C77D9C"/>
    <w:multiLevelType w:val="multilevel"/>
    <w:tmpl w:val="42B4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64602A"/>
    <w:multiLevelType w:val="multilevel"/>
    <w:tmpl w:val="FF1E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2D7EA3"/>
    <w:multiLevelType w:val="multilevel"/>
    <w:tmpl w:val="EB64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38"/>
  </w:num>
  <w:num w:numId="5">
    <w:abstractNumId w:val="25"/>
  </w:num>
  <w:num w:numId="6">
    <w:abstractNumId w:val="15"/>
  </w:num>
  <w:num w:numId="7">
    <w:abstractNumId w:val="30"/>
  </w:num>
  <w:num w:numId="8">
    <w:abstractNumId w:val="34"/>
  </w:num>
  <w:num w:numId="9">
    <w:abstractNumId w:val="20"/>
  </w:num>
  <w:num w:numId="10">
    <w:abstractNumId w:val="32"/>
  </w:num>
  <w:num w:numId="11">
    <w:abstractNumId w:val="17"/>
  </w:num>
  <w:num w:numId="12">
    <w:abstractNumId w:val="24"/>
  </w:num>
  <w:num w:numId="13">
    <w:abstractNumId w:val="23"/>
  </w:num>
  <w:num w:numId="14">
    <w:abstractNumId w:val="36"/>
  </w:num>
  <w:num w:numId="15">
    <w:abstractNumId w:val="41"/>
  </w:num>
  <w:num w:numId="16">
    <w:abstractNumId w:val="19"/>
  </w:num>
  <w:num w:numId="17">
    <w:abstractNumId w:val="4"/>
  </w:num>
  <w:num w:numId="18">
    <w:abstractNumId w:val="22"/>
  </w:num>
  <w:num w:numId="19">
    <w:abstractNumId w:val="44"/>
  </w:num>
  <w:num w:numId="20">
    <w:abstractNumId w:val="9"/>
  </w:num>
  <w:num w:numId="21">
    <w:abstractNumId w:val="27"/>
  </w:num>
  <w:num w:numId="22">
    <w:abstractNumId w:val="18"/>
  </w:num>
  <w:num w:numId="23">
    <w:abstractNumId w:val="12"/>
  </w:num>
  <w:num w:numId="24">
    <w:abstractNumId w:val="2"/>
  </w:num>
  <w:num w:numId="25">
    <w:abstractNumId w:val="16"/>
  </w:num>
  <w:num w:numId="26">
    <w:abstractNumId w:val="1"/>
  </w:num>
  <w:num w:numId="27">
    <w:abstractNumId w:val="21"/>
  </w:num>
  <w:num w:numId="28">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29">
    <w:abstractNumId w:val="7"/>
  </w:num>
  <w:num w:numId="30">
    <w:abstractNumId w:val="13"/>
  </w:num>
  <w:num w:numId="31">
    <w:abstractNumId w:val="40"/>
  </w:num>
  <w:num w:numId="32">
    <w:abstractNumId w:val="33"/>
  </w:num>
  <w:num w:numId="33">
    <w:abstractNumId w:val="28"/>
  </w:num>
  <w:num w:numId="34">
    <w:abstractNumId w:val="45"/>
  </w:num>
  <w:num w:numId="35">
    <w:abstractNumId w:val="3"/>
  </w:num>
  <w:num w:numId="36">
    <w:abstractNumId w:val="31"/>
  </w:num>
  <w:num w:numId="37">
    <w:abstractNumId w:val="5"/>
  </w:num>
  <w:num w:numId="38">
    <w:abstractNumId w:val="37"/>
  </w:num>
  <w:num w:numId="39">
    <w:abstractNumId w:val="47"/>
  </w:num>
  <w:num w:numId="40">
    <w:abstractNumId w:val="29"/>
  </w:num>
  <w:num w:numId="41">
    <w:abstractNumId w:val="11"/>
  </w:num>
  <w:num w:numId="42">
    <w:abstractNumId w:val="39"/>
  </w:num>
  <w:num w:numId="43">
    <w:abstractNumId w:val="26"/>
  </w:num>
  <w:num w:numId="44">
    <w:abstractNumId w:val="14"/>
  </w:num>
  <w:num w:numId="45">
    <w:abstractNumId w:val="35"/>
  </w:num>
  <w:num w:numId="46">
    <w:abstractNumId w:val="46"/>
  </w:num>
  <w:num w:numId="47">
    <w:abstractNumId w:val="10"/>
  </w:num>
  <w:num w:numId="48">
    <w:abstractNumId w:val="43"/>
  </w:num>
  <w:num w:numId="49">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47"/>
    <w:rsid w:val="0000163D"/>
    <w:rsid w:val="00002BF8"/>
    <w:rsid w:val="0000457A"/>
    <w:rsid w:val="000176ED"/>
    <w:rsid w:val="00020154"/>
    <w:rsid w:val="00024857"/>
    <w:rsid w:val="00026381"/>
    <w:rsid w:val="0003091C"/>
    <w:rsid w:val="0005157E"/>
    <w:rsid w:val="00053572"/>
    <w:rsid w:val="000553AD"/>
    <w:rsid w:val="00062FF7"/>
    <w:rsid w:val="00073647"/>
    <w:rsid w:val="0007690C"/>
    <w:rsid w:val="00097A51"/>
    <w:rsid w:val="000A2856"/>
    <w:rsid w:val="000A39D2"/>
    <w:rsid w:val="000B6492"/>
    <w:rsid w:val="000C2E52"/>
    <w:rsid w:val="000D29D8"/>
    <w:rsid w:val="000D750F"/>
    <w:rsid w:val="000E5A58"/>
    <w:rsid w:val="000F6A32"/>
    <w:rsid w:val="001015A2"/>
    <w:rsid w:val="00103F26"/>
    <w:rsid w:val="001105BA"/>
    <w:rsid w:val="001166AD"/>
    <w:rsid w:val="0013487B"/>
    <w:rsid w:val="00135A15"/>
    <w:rsid w:val="00140338"/>
    <w:rsid w:val="001427B1"/>
    <w:rsid w:val="001435EF"/>
    <w:rsid w:val="0015000A"/>
    <w:rsid w:val="00151FAB"/>
    <w:rsid w:val="00152347"/>
    <w:rsid w:val="00160349"/>
    <w:rsid w:val="00162788"/>
    <w:rsid w:val="00171F6B"/>
    <w:rsid w:val="00182F0B"/>
    <w:rsid w:val="00190CFE"/>
    <w:rsid w:val="00193678"/>
    <w:rsid w:val="001956FE"/>
    <w:rsid w:val="001A2948"/>
    <w:rsid w:val="001A760C"/>
    <w:rsid w:val="001B024C"/>
    <w:rsid w:val="001B248C"/>
    <w:rsid w:val="001B2796"/>
    <w:rsid w:val="001C526E"/>
    <w:rsid w:val="001D160B"/>
    <w:rsid w:val="001D367C"/>
    <w:rsid w:val="001E2B5F"/>
    <w:rsid w:val="001E3A8A"/>
    <w:rsid w:val="001E40C6"/>
    <w:rsid w:val="001F4314"/>
    <w:rsid w:val="00200BB9"/>
    <w:rsid w:val="002033BF"/>
    <w:rsid w:val="0021299B"/>
    <w:rsid w:val="0021510C"/>
    <w:rsid w:val="002203CC"/>
    <w:rsid w:val="00222D54"/>
    <w:rsid w:val="0022773A"/>
    <w:rsid w:val="00232929"/>
    <w:rsid w:val="0023548D"/>
    <w:rsid w:val="00237479"/>
    <w:rsid w:val="002501E4"/>
    <w:rsid w:val="00252F66"/>
    <w:rsid w:val="00255267"/>
    <w:rsid w:val="002665F3"/>
    <w:rsid w:val="00267F58"/>
    <w:rsid w:val="00282214"/>
    <w:rsid w:val="00283310"/>
    <w:rsid w:val="00292D12"/>
    <w:rsid w:val="00296EC3"/>
    <w:rsid w:val="002A2E6D"/>
    <w:rsid w:val="002A4DDE"/>
    <w:rsid w:val="002E530B"/>
    <w:rsid w:val="002F4380"/>
    <w:rsid w:val="002F6698"/>
    <w:rsid w:val="00303835"/>
    <w:rsid w:val="00305E50"/>
    <w:rsid w:val="00306565"/>
    <w:rsid w:val="00313E67"/>
    <w:rsid w:val="00316DC9"/>
    <w:rsid w:val="00320031"/>
    <w:rsid w:val="00324914"/>
    <w:rsid w:val="00330D17"/>
    <w:rsid w:val="00355252"/>
    <w:rsid w:val="00386006"/>
    <w:rsid w:val="003875A7"/>
    <w:rsid w:val="0039051A"/>
    <w:rsid w:val="00393268"/>
    <w:rsid w:val="00393DED"/>
    <w:rsid w:val="003B6436"/>
    <w:rsid w:val="003C2D03"/>
    <w:rsid w:val="003C7643"/>
    <w:rsid w:val="003D42D1"/>
    <w:rsid w:val="003D6799"/>
    <w:rsid w:val="003F0EDE"/>
    <w:rsid w:val="003F2FE2"/>
    <w:rsid w:val="003F6CE5"/>
    <w:rsid w:val="00400C8C"/>
    <w:rsid w:val="0040124D"/>
    <w:rsid w:val="004039AC"/>
    <w:rsid w:val="00403EC3"/>
    <w:rsid w:val="004120F0"/>
    <w:rsid w:val="004167BF"/>
    <w:rsid w:val="004169AD"/>
    <w:rsid w:val="00417B76"/>
    <w:rsid w:val="004205AC"/>
    <w:rsid w:val="00430D2D"/>
    <w:rsid w:val="0043247A"/>
    <w:rsid w:val="00444D91"/>
    <w:rsid w:val="00460420"/>
    <w:rsid w:val="004628EC"/>
    <w:rsid w:val="00477F18"/>
    <w:rsid w:val="00481681"/>
    <w:rsid w:val="00484B82"/>
    <w:rsid w:val="004855A6"/>
    <w:rsid w:val="0049304F"/>
    <w:rsid w:val="004B29FA"/>
    <w:rsid w:val="004B2FFC"/>
    <w:rsid w:val="004B35AF"/>
    <w:rsid w:val="004B66AE"/>
    <w:rsid w:val="004D5B17"/>
    <w:rsid w:val="004E219B"/>
    <w:rsid w:val="004E3E4B"/>
    <w:rsid w:val="004E41A5"/>
    <w:rsid w:val="004F7A72"/>
    <w:rsid w:val="005007CC"/>
    <w:rsid w:val="005033B6"/>
    <w:rsid w:val="00513838"/>
    <w:rsid w:val="00514765"/>
    <w:rsid w:val="0052499A"/>
    <w:rsid w:val="005301EE"/>
    <w:rsid w:val="00531F74"/>
    <w:rsid w:val="00533141"/>
    <w:rsid w:val="00544DE6"/>
    <w:rsid w:val="00550C71"/>
    <w:rsid w:val="00553F5D"/>
    <w:rsid w:val="00557C04"/>
    <w:rsid w:val="0056009C"/>
    <w:rsid w:val="00561627"/>
    <w:rsid w:val="005625E4"/>
    <w:rsid w:val="005702F7"/>
    <w:rsid w:val="00572825"/>
    <w:rsid w:val="00572AEB"/>
    <w:rsid w:val="00575FED"/>
    <w:rsid w:val="0058428F"/>
    <w:rsid w:val="00593597"/>
    <w:rsid w:val="005A33C2"/>
    <w:rsid w:val="005B07DD"/>
    <w:rsid w:val="005B19C0"/>
    <w:rsid w:val="005B6BAC"/>
    <w:rsid w:val="005B7E61"/>
    <w:rsid w:val="005C24A7"/>
    <w:rsid w:val="005D1D8E"/>
    <w:rsid w:val="005D3747"/>
    <w:rsid w:val="005D4143"/>
    <w:rsid w:val="005D4CB0"/>
    <w:rsid w:val="005E3FC3"/>
    <w:rsid w:val="005E5AB9"/>
    <w:rsid w:val="005F7D23"/>
    <w:rsid w:val="00614AAA"/>
    <w:rsid w:val="0062092A"/>
    <w:rsid w:val="0062455E"/>
    <w:rsid w:val="00624DF8"/>
    <w:rsid w:val="006317B2"/>
    <w:rsid w:val="00664DBA"/>
    <w:rsid w:val="00667A1E"/>
    <w:rsid w:val="00670452"/>
    <w:rsid w:val="00671069"/>
    <w:rsid w:val="00676FE8"/>
    <w:rsid w:val="00677396"/>
    <w:rsid w:val="00697954"/>
    <w:rsid w:val="006A0080"/>
    <w:rsid w:val="006A0DB8"/>
    <w:rsid w:val="006A1256"/>
    <w:rsid w:val="006A1B3F"/>
    <w:rsid w:val="006A3BF6"/>
    <w:rsid w:val="006A6FA6"/>
    <w:rsid w:val="006A7D1F"/>
    <w:rsid w:val="006B2DE0"/>
    <w:rsid w:val="006C4140"/>
    <w:rsid w:val="006D1A8D"/>
    <w:rsid w:val="006D23EB"/>
    <w:rsid w:val="006D273D"/>
    <w:rsid w:val="006D630D"/>
    <w:rsid w:val="006E01E6"/>
    <w:rsid w:val="00700073"/>
    <w:rsid w:val="00704B33"/>
    <w:rsid w:val="00705362"/>
    <w:rsid w:val="0070680D"/>
    <w:rsid w:val="00706B4C"/>
    <w:rsid w:val="00715421"/>
    <w:rsid w:val="007225AE"/>
    <w:rsid w:val="007326C1"/>
    <w:rsid w:val="00734444"/>
    <w:rsid w:val="007419F2"/>
    <w:rsid w:val="0074561A"/>
    <w:rsid w:val="00753BB2"/>
    <w:rsid w:val="0076023A"/>
    <w:rsid w:val="00764958"/>
    <w:rsid w:val="007853FC"/>
    <w:rsid w:val="007A5A10"/>
    <w:rsid w:val="007B4A08"/>
    <w:rsid w:val="007C6993"/>
    <w:rsid w:val="007C6C83"/>
    <w:rsid w:val="007E0AFD"/>
    <w:rsid w:val="00801640"/>
    <w:rsid w:val="008030C9"/>
    <w:rsid w:val="00806DC5"/>
    <w:rsid w:val="0082263A"/>
    <w:rsid w:val="008247DB"/>
    <w:rsid w:val="00825B18"/>
    <w:rsid w:val="00825D5A"/>
    <w:rsid w:val="0083203A"/>
    <w:rsid w:val="0084663A"/>
    <w:rsid w:val="00850EA5"/>
    <w:rsid w:val="00860316"/>
    <w:rsid w:val="00863DB5"/>
    <w:rsid w:val="00867A00"/>
    <w:rsid w:val="008721F8"/>
    <w:rsid w:val="008769FF"/>
    <w:rsid w:val="00876FAB"/>
    <w:rsid w:val="00877BDF"/>
    <w:rsid w:val="00882BD1"/>
    <w:rsid w:val="008A0B0A"/>
    <w:rsid w:val="008B4A13"/>
    <w:rsid w:val="008C283C"/>
    <w:rsid w:val="008D0CA6"/>
    <w:rsid w:val="008E413B"/>
    <w:rsid w:val="00906597"/>
    <w:rsid w:val="00915DD8"/>
    <w:rsid w:val="00916B12"/>
    <w:rsid w:val="00925EC5"/>
    <w:rsid w:val="00934399"/>
    <w:rsid w:val="00935922"/>
    <w:rsid w:val="00945F8C"/>
    <w:rsid w:val="0095638B"/>
    <w:rsid w:val="00980F89"/>
    <w:rsid w:val="009816BD"/>
    <w:rsid w:val="00994818"/>
    <w:rsid w:val="00994848"/>
    <w:rsid w:val="009A5ED1"/>
    <w:rsid w:val="009C4F11"/>
    <w:rsid w:val="009C7EF7"/>
    <w:rsid w:val="009D2DCE"/>
    <w:rsid w:val="009D6421"/>
    <w:rsid w:val="009E1336"/>
    <w:rsid w:val="009E3F68"/>
    <w:rsid w:val="009E491B"/>
    <w:rsid w:val="009F24A4"/>
    <w:rsid w:val="00A00B8E"/>
    <w:rsid w:val="00A00D2B"/>
    <w:rsid w:val="00A056AC"/>
    <w:rsid w:val="00A06638"/>
    <w:rsid w:val="00A147F1"/>
    <w:rsid w:val="00A258B3"/>
    <w:rsid w:val="00A35C5C"/>
    <w:rsid w:val="00A45948"/>
    <w:rsid w:val="00A518C8"/>
    <w:rsid w:val="00A51E9C"/>
    <w:rsid w:val="00A61605"/>
    <w:rsid w:val="00A71914"/>
    <w:rsid w:val="00A80AF7"/>
    <w:rsid w:val="00A843DF"/>
    <w:rsid w:val="00A85FD2"/>
    <w:rsid w:val="00AA569B"/>
    <w:rsid w:val="00AA7CAD"/>
    <w:rsid w:val="00AB26D7"/>
    <w:rsid w:val="00AB617F"/>
    <w:rsid w:val="00AC3963"/>
    <w:rsid w:val="00AD1793"/>
    <w:rsid w:val="00AF7086"/>
    <w:rsid w:val="00B00ADE"/>
    <w:rsid w:val="00B013DB"/>
    <w:rsid w:val="00B06860"/>
    <w:rsid w:val="00B06A6F"/>
    <w:rsid w:val="00B14497"/>
    <w:rsid w:val="00B22F41"/>
    <w:rsid w:val="00B238E0"/>
    <w:rsid w:val="00B47348"/>
    <w:rsid w:val="00B65C4A"/>
    <w:rsid w:val="00B67DE7"/>
    <w:rsid w:val="00B775AB"/>
    <w:rsid w:val="00B83B95"/>
    <w:rsid w:val="00B869CA"/>
    <w:rsid w:val="00B9399D"/>
    <w:rsid w:val="00BA4E79"/>
    <w:rsid w:val="00BC2985"/>
    <w:rsid w:val="00BC2EA4"/>
    <w:rsid w:val="00BC7544"/>
    <w:rsid w:val="00C01639"/>
    <w:rsid w:val="00C035EC"/>
    <w:rsid w:val="00C04468"/>
    <w:rsid w:val="00C125EB"/>
    <w:rsid w:val="00C26D71"/>
    <w:rsid w:val="00C304AA"/>
    <w:rsid w:val="00C31758"/>
    <w:rsid w:val="00C31B9D"/>
    <w:rsid w:val="00C36395"/>
    <w:rsid w:val="00C54A5A"/>
    <w:rsid w:val="00C568ED"/>
    <w:rsid w:val="00C70792"/>
    <w:rsid w:val="00C918F2"/>
    <w:rsid w:val="00C9270D"/>
    <w:rsid w:val="00C92F98"/>
    <w:rsid w:val="00C948F6"/>
    <w:rsid w:val="00CA52D0"/>
    <w:rsid w:val="00CB3E22"/>
    <w:rsid w:val="00CB7B37"/>
    <w:rsid w:val="00CC0D58"/>
    <w:rsid w:val="00CD159E"/>
    <w:rsid w:val="00CD1F38"/>
    <w:rsid w:val="00CE78F3"/>
    <w:rsid w:val="00CF6B88"/>
    <w:rsid w:val="00CF7E31"/>
    <w:rsid w:val="00D032F4"/>
    <w:rsid w:val="00D07305"/>
    <w:rsid w:val="00D07DC1"/>
    <w:rsid w:val="00D12D9E"/>
    <w:rsid w:val="00D24F83"/>
    <w:rsid w:val="00D34B4A"/>
    <w:rsid w:val="00D549D5"/>
    <w:rsid w:val="00D62D94"/>
    <w:rsid w:val="00D71BF5"/>
    <w:rsid w:val="00D762A7"/>
    <w:rsid w:val="00D81D04"/>
    <w:rsid w:val="00D87B80"/>
    <w:rsid w:val="00D91849"/>
    <w:rsid w:val="00DA6676"/>
    <w:rsid w:val="00DB2C72"/>
    <w:rsid w:val="00DB7811"/>
    <w:rsid w:val="00DC358D"/>
    <w:rsid w:val="00DD4A1A"/>
    <w:rsid w:val="00DD7183"/>
    <w:rsid w:val="00DE5B49"/>
    <w:rsid w:val="00DF5DF1"/>
    <w:rsid w:val="00DF66A6"/>
    <w:rsid w:val="00E02040"/>
    <w:rsid w:val="00E3040C"/>
    <w:rsid w:val="00E35FDE"/>
    <w:rsid w:val="00E41142"/>
    <w:rsid w:val="00E412E1"/>
    <w:rsid w:val="00E4420D"/>
    <w:rsid w:val="00E4467D"/>
    <w:rsid w:val="00E500ED"/>
    <w:rsid w:val="00E547E6"/>
    <w:rsid w:val="00E65769"/>
    <w:rsid w:val="00E65F09"/>
    <w:rsid w:val="00E82073"/>
    <w:rsid w:val="00E85D65"/>
    <w:rsid w:val="00E951FB"/>
    <w:rsid w:val="00EB453E"/>
    <w:rsid w:val="00EC50B3"/>
    <w:rsid w:val="00EC654E"/>
    <w:rsid w:val="00ED3136"/>
    <w:rsid w:val="00ED742A"/>
    <w:rsid w:val="00EE6806"/>
    <w:rsid w:val="00EF174B"/>
    <w:rsid w:val="00EF2670"/>
    <w:rsid w:val="00EF5831"/>
    <w:rsid w:val="00EF61FF"/>
    <w:rsid w:val="00EF6881"/>
    <w:rsid w:val="00F05FF4"/>
    <w:rsid w:val="00F22447"/>
    <w:rsid w:val="00F23F94"/>
    <w:rsid w:val="00F26F36"/>
    <w:rsid w:val="00F27FCF"/>
    <w:rsid w:val="00F33C03"/>
    <w:rsid w:val="00F3572F"/>
    <w:rsid w:val="00F35F57"/>
    <w:rsid w:val="00F37860"/>
    <w:rsid w:val="00F4306B"/>
    <w:rsid w:val="00F501D0"/>
    <w:rsid w:val="00F5522B"/>
    <w:rsid w:val="00F67D4F"/>
    <w:rsid w:val="00F717A6"/>
    <w:rsid w:val="00F71816"/>
    <w:rsid w:val="00F8252D"/>
    <w:rsid w:val="00F82E52"/>
    <w:rsid w:val="00F83481"/>
    <w:rsid w:val="00F84BFD"/>
    <w:rsid w:val="00F92BEC"/>
    <w:rsid w:val="00F97AC2"/>
    <w:rsid w:val="00FA7667"/>
    <w:rsid w:val="00FB4C93"/>
    <w:rsid w:val="00FD0F87"/>
    <w:rsid w:val="00FF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3753AFD"/>
  <w15:chartTrackingRefBased/>
  <w15:docId w15:val="{E86FD2C8-FC97-4932-8556-7CCEF9DC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347"/>
  </w:style>
  <w:style w:type="paragraph" w:styleId="Footer">
    <w:name w:val="footer"/>
    <w:basedOn w:val="Normal"/>
    <w:link w:val="FooterChar"/>
    <w:uiPriority w:val="99"/>
    <w:unhideWhenUsed/>
    <w:rsid w:val="0015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347"/>
  </w:style>
  <w:style w:type="paragraph" w:customStyle="1" w:styleId="APA">
    <w:name w:val="APA"/>
    <w:basedOn w:val="BodyText"/>
    <w:rsid w:val="00026381"/>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sz w:val="24"/>
      <w:szCs w:val="20"/>
    </w:rPr>
  </w:style>
  <w:style w:type="paragraph" w:styleId="ListParagraph">
    <w:name w:val="List Paragraph"/>
    <w:basedOn w:val="Normal"/>
    <w:uiPriority w:val="34"/>
    <w:qFormat/>
    <w:rsid w:val="00026381"/>
    <w:pPr>
      <w:spacing w:after="200" w:line="276" w:lineRule="auto"/>
      <w:ind w:left="720"/>
      <w:contextualSpacing/>
    </w:pPr>
    <w:rPr>
      <w:rFonts w:ascii="Calibri" w:eastAsia="Calibri" w:hAnsi="Calibri" w:cs="Arial"/>
    </w:rPr>
  </w:style>
  <w:style w:type="paragraph" w:styleId="BodyText">
    <w:name w:val="Body Text"/>
    <w:basedOn w:val="Normal"/>
    <w:link w:val="BodyTextChar"/>
    <w:uiPriority w:val="99"/>
    <w:semiHidden/>
    <w:unhideWhenUsed/>
    <w:rsid w:val="00026381"/>
    <w:pPr>
      <w:spacing w:after="120"/>
    </w:pPr>
  </w:style>
  <w:style w:type="character" w:customStyle="1" w:styleId="BodyTextChar">
    <w:name w:val="Body Text Char"/>
    <w:basedOn w:val="DefaultParagraphFont"/>
    <w:link w:val="BodyText"/>
    <w:uiPriority w:val="99"/>
    <w:semiHidden/>
    <w:rsid w:val="00026381"/>
  </w:style>
  <w:style w:type="character" w:styleId="Hyperlink">
    <w:name w:val="Hyperlink"/>
    <w:basedOn w:val="DefaultParagraphFont"/>
    <w:uiPriority w:val="99"/>
    <w:unhideWhenUsed/>
    <w:rsid w:val="004F7A72"/>
    <w:rPr>
      <w:color w:val="0563C1" w:themeColor="hyperlink"/>
      <w:u w:val="single"/>
    </w:rPr>
  </w:style>
  <w:style w:type="table" w:styleId="TableGrid">
    <w:name w:val="Table Grid"/>
    <w:basedOn w:val="TableNormal"/>
    <w:uiPriority w:val="39"/>
    <w:rsid w:val="00BC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1B3F"/>
    <w:rPr>
      <w:color w:val="954F72" w:themeColor="followedHyperlink"/>
      <w:u w:val="single"/>
    </w:rPr>
  </w:style>
  <w:style w:type="table" w:styleId="GridTable1Light-Accent5">
    <w:name w:val="Grid Table 1 Light Accent 5"/>
    <w:basedOn w:val="TableNormal"/>
    <w:uiPriority w:val="46"/>
    <w:rsid w:val="00D62D9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572AEB"/>
    <w:rPr>
      <w:color w:val="2B579A"/>
      <w:shd w:val="clear" w:color="auto" w:fill="E6E6E6"/>
    </w:rPr>
  </w:style>
  <w:style w:type="paragraph" w:styleId="Bibliography">
    <w:name w:val="Bibliography"/>
    <w:basedOn w:val="Normal"/>
    <w:next w:val="Normal"/>
    <w:uiPriority w:val="37"/>
    <w:unhideWhenUsed/>
    <w:rsid w:val="00624DF8"/>
    <w:pPr>
      <w:spacing w:after="200" w:line="276" w:lineRule="auto"/>
    </w:pPr>
  </w:style>
  <w:style w:type="character" w:styleId="UnresolvedMention">
    <w:name w:val="Unresolved Mention"/>
    <w:basedOn w:val="DefaultParagraphFont"/>
    <w:uiPriority w:val="99"/>
    <w:semiHidden/>
    <w:unhideWhenUsed/>
    <w:rsid w:val="00DA6676"/>
    <w:rPr>
      <w:color w:val="808080"/>
      <w:shd w:val="clear" w:color="auto" w:fill="E6E6E6"/>
    </w:rPr>
  </w:style>
  <w:style w:type="table" w:styleId="GridTable1Light-Accent1">
    <w:name w:val="Grid Table 1 Light Accent 1"/>
    <w:basedOn w:val="TableNormal"/>
    <w:uiPriority w:val="46"/>
    <w:rsid w:val="008247D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201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301">
      <w:bodyDiv w:val="1"/>
      <w:marLeft w:val="0"/>
      <w:marRight w:val="0"/>
      <w:marTop w:val="0"/>
      <w:marBottom w:val="0"/>
      <w:divBdr>
        <w:top w:val="none" w:sz="0" w:space="0" w:color="auto"/>
        <w:left w:val="none" w:sz="0" w:space="0" w:color="auto"/>
        <w:bottom w:val="none" w:sz="0" w:space="0" w:color="auto"/>
        <w:right w:val="none" w:sz="0" w:space="0" w:color="auto"/>
      </w:divBdr>
    </w:div>
    <w:div w:id="79370482">
      <w:bodyDiv w:val="1"/>
      <w:marLeft w:val="0"/>
      <w:marRight w:val="0"/>
      <w:marTop w:val="0"/>
      <w:marBottom w:val="0"/>
      <w:divBdr>
        <w:top w:val="none" w:sz="0" w:space="0" w:color="auto"/>
        <w:left w:val="none" w:sz="0" w:space="0" w:color="auto"/>
        <w:bottom w:val="none" w:sz="0" w:space="0" w:color="auto"/>
        <w:right w:val="none" w:sz="0" w:space="0" w:color="auto"/>
      </w:divBdr>
    </w:div>
    <w:div w:id="115678373">
      <w:bodyDiv w:val="1"/>
      <w:marLeft w:val="0"/>
      <w:marRight w:val="0"/>
      <w:marTop w:val="0"/>
      <w:marBottom w:val="0"/>
      <w:divBdr>
        <w:top w:val="none" w:sz="0" w:space="0" w:color="auto"/>
        <w:left w:val="none" w:sz="0" w:space="0" w:color="auto"/>
        <w:bottom w:val="none" w:sz="0" w:space="0" w:color="auto"/>
        <w:right w:val="none" w:sz="0" w:space="0" w:color="auto"/>
      </w:divBdr>
    </w:div>
    <w:div w:id="121651338">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935942058">
          <w:marLeft w:val="0"/>
          <w:marRight w:val="0"/>
          <w:marTop w:val="0"/>
          <w:marBottom w:val="0"/>
          <w:divBdr>
            <w:top w:val="none" w:sz="0" w:space="0" w:color="auto"/>
            <w:left w:val="none" w:sz="0" w:space="0" w:color="auto"/>
            <w:bottom w:val="none" w:sz="0" w:space="0" w:color="auto"/>
            <w:right w:val="none" w:sz="0" w:space="0" w:color="auto"/>
          </w:divBdr>
        </w:div>
      </w:divsChild>
    </w:div>
    <w:div w:id="227037534">
      <w:bodyDiv w:val="1"/>
      <w:marLeft w:val="0"/>
      <w:marRight w:val="0"/>
      <w:marTop w:val="0"/>
      <w:marBottom w:val="0"/>
      <w:divBdr>
        <w:top w:val="none" w:sz="0" w:space="0" w:color="auto"/>
        <w:left w:val="none" w:sz="0" w:space="0" w:color="auto"/>
        <w:bottom w:val="none" w:sz="0" w:space="0" w:color="auto"/>
        <w:right w:val="none" w:sz="0" w:space="0" w:color="auto"/>
      </w:divBdr>
    </w:div>
    <w:div w:id="308243730">
      <w:bodyDiv w:val="1"/>
      <w:marLeft w:val="0"/>
      <w:marRight w:val="0"/>
      <w:marTop w:val="0"/>
      <w:marBottom w:val="0"/>
      <w:divBdr>
        <w:top w:val="none" w:sz="0" w:space="0" w:color="auto"/>
        <w:left w:val="none" w:sz="0" w:space="0" w:color="auto"/>
        <w:bottom w:val="none" w:sz="0" w:space="0" w:color="auto"/>
        <w:right w:val="none" w:sz="0" w:space="0" w:color="auto"/>
      </w:divBdr>
    </w:div>
    <w:div w:id="333802487">
      <w:bodyDiv w:val="1"/>
      <w:marLeft w:val="0"/>
      <w:marRight w:val="0"/>
      <w:marTop w:val="0"/>
      <w:marBottom w:val="0"/>
      <w:divBdr>
        <w:top w:val="none" w:sz="0" w:space="0" w:color="auto"/>
        <w:left w:val="none" w:sz="0" w:space="0" w:color="auto"/>
        <w:bottom w:val="none" w:sz="0" w:space="0" w:color="auto"/>
        <w:right w:val="none" w:sz="0" w:space="0" w:color="auto"/>
      </w:divBdr>
    </w:div>
    <w:div w:id="345448312">
      <w:bodyDiv w:val="1"/>
      <w:marLeft w:val="0"/>
      <w:marRight w:val="0"/>
      <w:marTop w:val="0"/>
      <w:marBottom w:val="0"/>
      <w:divBdr>
        <w:top w:val="none" w:sz="0" w:space="0" w:color="auto"/>
        <w:left w:val="none" w:sz="0" w:space="0" w:color="auto"/>
        <w:bottom w:val="none" w:sz="0" w:space="0" w:color="auto"/>
        <w:right w:val="none" w:sz="0" w:space="0" w:color="auto"/>
      </w:divBdr>
      <w:divsChild>
        <w:div w:id="1168406507">
          <w:marLeft w:val="0"/>
          <w:marRight w:val="0"/>
          <w:marTop w:val="0"/>
          <w:marBottom w:val="0"/>
          <w:divBdr>
            <w:top w:val="none" w:sz="0" w:space="0" w:color="auto"/>
            <w:left w:val="none" w:sz="0" w:space="0" w:color="auto"/>
            <w:bottom w:val="none" w:sz="0" w:space="0" w:color="auto"/>
            <w:right w:val="none" w:sz="0" w:space="0" w:color="auto"/>
          </w:divBdr>
        </w:div>
      </w:divsChild>
    </w:div>
    <w:div w:id="350885578">
      <w:bodyDiv w:val="1"/>
      <w:marLeft w:val="0"/>
      <w:marRight w:val="0"/>
      <w:marTop w:val="0"/>
      <w:marBottom w:val="0"/>
      <w:divBdr>
        <w:top w:val="none" w:sz="0" w:space="0" w:color="auto"/>
        <w:left w:val="none" w:sz="0" w:space="0" w:color="auto"/>
        <w:bottom w:val="none" w:sz="0" w:space="0" w:color="auto"/>
        <w:right w:val="none" w:sz="0" w:space="0" w:color="auto"/>
      </w:divBdr>
      <w:divsChild>
        <w:div w:id="1355381852">
          <w:marLeft w:val="0"/>
          <w:marRight w:val="0"/>
          <w:marTop w:val="0"/>
          <w:marBottom w:val="0"/>
          <w:divBdr>
            <w:top w:val="none" w:sz="0" w:space="0" w:color="auto"/>
            <w:left w:val="none" w:sz="0" w:space="0" w:color="auto"/>
            <w:bottom w:val="none" w:sz="0" w:space="0" w:color="auto"/>
            <w:right w:val="none" w:sz="0" w:space="0" w:color="auto"/>
          </w:divBdr>
        </w:div>
      </w:divsChild>
    </w:div>
    <w:div w:id="420839104">
      <w:bodyDiv w:val="1"/>
      <w:marLeft w:val="0"/>
      <w:marRight w:val="0"/>
      <w:marTop w:val="0"/>
      <w:marBottom w:val="0"/>
      <w:divBdr>
        <w:top w:val="none" w:sz="0" w:space="0" w:color="auto"/>
        <w:left w:val="none" w:sz="0" w:space="0" w:color="auto"/>
        <w:bottom w:val="none" w:sz="0" w:space="0" w:color="auto"/>
        <w:right w:val="none" w:sz="0" w:space="0" w:color="auto"/>
      </w:divBdr>
      <w:divsChild>
        <w:div w:id="2043938977">
          <w:marLeft w:val="0"/>
          <w:marRight w:val="0"/>
          <w:marTop w:val="0"/>
          <w:marBottom w:val="0"/>
          <w:divBdr>
            <w:top w:val="none" w:sz="0" w:space="0" w:color="auto"/>
            <w:left w:val="none" w:sz="0" w:space="0" w:color="auto"/>
            <w:bottom w:val="none" w:sz="0" w:space="0" w:color="auto"/>
            <w:right w:val="none" w:sz="0" w:space="0" w:color="auto"/>
          </w:divBdr>
        </w:div>
      </w:divsChild>
    </w:div>
    <w:div w:id="436412619">
      <w:bodyDiv w:val="1"/>
      <w:marLeft w:val="0"/>
      <w:marRight w:val="0"/>
      <w:marTop w:val="0"/>
      <w:marBottom w:val="0"/>
      <w:divBdr>
        <w:top w:val="none" w:sz="0" w:space="0" w:color="auto"/>
        <w:left w:val="none" w:sz="0" w:space="0" w:color="auto"/>
        <w:bottom w:val="none" w:sz="0" w:space="0" w:color="auto"/>
        <w:right w:val="none" w:sz="0" w:space="0" w:color="auto"/>
      </w:divBdr>
    </w:div>
    <w:div w:id="456024761">
      <w:bodyDiv w:val="1"/>
      <w:marLeft w:val="0"/>
      <w:marRight w:val="0"/>
      <w:marTop w:val="0"/>
      <w:marBottom w:val="0"/>
      <w:divBdr>
        <w:top w:val="none" w:sz="0" w:space="0" w:color="auto"/>
        <w:left w:val="none" w:sz="0" w:space="0" w:color="auto"/>
        <w:bottom w:val="none" w:sz="0" w:space="0" w:color="auto"/>
        <w:right w:val="none" w:sz="0" w:space="0" w:color="auto"/>
      </w:divBdr>
    </w:div>
    <w:div w:id="501896971">
      <w:bodyDiv w:val="1"/>
      <w:marLeft w:val="0"/>
      <w:marRight w:val="0"/>
      <w:marTop w:val="0"/>
      <w:marBottom w:val="0"/>
      <w:divBdr>
        <w:top w:val="none" w:sz="0" w:space="0" w:color="auto"/>
        <w:left w:val="none" w:sz="0" w:space="0" w:color="auto"/>
        <w:bottom w:val="none" w:sz="0" w:space="0" w:color="auto"/>
        <w:right w:val="none" w:sz="0" w:space="0" w:color="auto"/>
      </w:divBdr>
    </w:div>
    <w:div w:id="631205950">
      <w:bodyDiv w:val="1"/>
      <w:marLeft w:val="0"/>
      <w:marRight w:val="0"/>
      <w:marTop w:val="0"/>
      <w:marBottom w:val="0"/>
      <w:divBdr>
        <w:top w:val="none" w:sz="0" w:space="0" w:color="auto"/>
        <w:left w:val="none" w:sz="0" w:space="0" w:color="auto"/>
        <w:bottom w:val="none" w:sz="0" w:space="0" w:color="auto"/>
        <w:right w:val="none" w:sz="0" w:space="0" w:color="auto"/>
      </w:divBdr>
    </w:div>
    <w:div w:id="635066810">
      <w:bodyDiv w:val="1"/>
      <w:marLeft w:val="0"/>
      <w:marRight w:val="0"/>
      <w:marTop w:val="0"/>
      <w:marBottom w:val="0"/>
      <w:divBdr>
        <w:top w:val="none" w:sz="0" w:space="0" w:color="auto"/>
        <w:left w:val="none" w:sz="0" w:space="0" w:color="auto"/>
        <w:bottom w:val="none" w:sz="0" w:space="0" w:color="auto"/>
        <w:right w:val="none" w:sz="0" w:space="0" w:color="auto"/>
      </w:divBdr>
    </w:div>
    <w:div w:id="647898472">
      <w:bodyDiv w:val="1"/>
      <w:marLeft w:val="0"/>
      <w:marRight w:val="0"/>
      <w:marTop w:val="0"/>
      <w:marBottom w:val="0"/>
      <w:divBdr>
        <w:top w:val="none" w:sz="0" w:space="0" w:color="auto"/>
        <w:left w:val="none" w:sz="0" w:space="0" w:color="auto"/>
        <w:bottom w:val="none" w:sz="0" w:space="0" w:color="auto"/>
        <w:right w:val="none" w:sz="0" w:space="0" w:color="auto"/>
      </w:divBdr>
      <w:divsChild>
        <w:div w:id="1629778429">
          <w:marLeft w:val="0"/>
          <w:marRight w:val="0"/>
          <w:marTop w:val="0"/>
          <w:marBottom w:val="0"/>
          <w:divBdr>
            <w:top w:val="none" w:sz="0" w:space="0" w:color="auto"/>
            <w:left w:val="none" w:sz="0" w:space="0" w:color="auto"/>
            <w:bottom w:val="none" w:sz="0" w:space="0" w:color="auto"/>
            <w:right w:val="none" w:sz="0" w:space="0" w:color="auto"/>
          </w:divBdr>
        </w:div>
      </w:divsChild>
    </w:div>
    <w:div w:id="771441619">
      <w:bodyDiv w:val="1"/>
      <w:marLeft w:val="0"/>
      <w:marRight w:val="0"/>
      <w:marTop w:val="0"/>
      <w:marBottom w:val="0"/>
      <w:divBdr>
        <w:top w:val="none" w:sz="0" w:space="0" w:color="auto"/>
        <w:left w:val="none" w:sz="0" w:space="0" w:color="auto"/>
        <w:bottom w:val="none" w:sz="0" w:space="0" w:color="auto"/>
        <w:right w:val="none" w:sz="0" w:space="0" w:color="auto"/>
      </w:divBdr>
    </w:div>
    <w:div w:id="792095290">
      <w:bodyDiv w:val="1"/>
      <w:marLeft w:val="0"/>
      <w:marRight w:val="0"/>
      <w:marTop w:val="0"/>
      <w:marBottom w:val="0"/>
      <w:divBdr>
        <w:top w:val="none" w:sz="0" w:space="0" w:color="auto"/>
        <w:left w:val="none" w:sz="0" w:space="0" w:color="auto"/>
        <w:bottom w:val="none" w:sz="0" w:space="0" w:color="auto"/>
        <w:right w:val="none" w:sz="0" w:space="0" w:color="auto"/>
      </w:divBdr>
    </w:div>
    <w:div w:id="799349705">
      <w:bodyDiv w:val="1"/>
      <w:marLeft w:val="0"/>
      <w:marRight w:val="0"/>
      <w:marTop w:val="0"/>
      <w:marBottom w:val="0"/>
      <w:divBdr>
        <w:top w:val="none" w:sz="0" w:space="0" w:color="auto"/>
        <w:left w:val="none" w:sz="0" w:space="0" w:color="auto"/>
        <w:bottom w:val="none" w:sz="0" w:space="0" w:color="auto"/>
        <w:right w:val="none" w:sz="0" w:space="0" w:color="auto"/>
      </w:divBdr>
    </w:div>
    <w:div w:id="890307255">
      <w:bodyDiv w:val="1"/>
      <w:marLeft w:val="0"/>
      <w:marRight w:val="0"/>
      <w:marTop w:val="0"/>
      <w:marBottom w:val="0"/>
      <w:divBdr>
        <w:top w:val="none" w:sz="0" w:space="0" w:color="auto"/>
        <w:left w:val="none" w:sz="0" w:space="0" w:color="auto"/>
        <w:bottom w:val="none" w:sz="0" w:space="0" w:color="auto"/>
        <w:right w:val="none" w:sz="0" w:space="0" w:color="auto"/>
      </w:divBdr>
    </w:div>
    <w:div w:id="1010259126">
      <w:bodyDiv w:val="1"/>
      <w:marLeft w:val="0"/>
      <w:marRight w:val="0"/>
      <w:marTop w:val="0"/>
      <w:marBottom w:val="0"/>
      <w:divBdr>
        <w:top w:val="none" w:sz="0" w:space="0" w:color="auto"/>
        <w:left w:val="none" w:sz="0" w:space="0" w:color="auto"/>
        <w:bottom w:val="none" w:sz="0" w:space="0" w:color="auto"/>
        <w:right w:val="none" w:sz="0" w:space="0" w:color="auto"/>
      </w:divBdr>
    </w:div>
    <w:div w:id="1013800049">
      <w:bodyDiv w:val="1"/>
      <w:marLeft w:val="0"/>
      <w:marRight w:val="0"/>
      <w:marTop w:val="0"/>
      <w:marBottom w:val="0"/>
      <w:divBdr>
        <w:top w:val="none" w:sz="0" w:space="0" w:color="auto"/>
        <w:left w:val="none" w:sz="0" w:space="0" w:color="auto"/>
        <w:bottom w:val="none" w:sz="0" w:space="0" w:color="auto"/>
        <w:right w:val="none" w:sz="0" w:space="0" w:color="auto"/>
      </w:divBdr>
    </w:div>
    <w:div w:id="1065296746">
      <w:bodyDiv w:val="1"/>
      <w:marLeft w:val="0"/>
      <w:marRight w:val="0"/>
      <w:marTop w:val="0"/>
      <w:marBottom w:val="0"/>
      <w:divBdr>
        <w:top w:val="none" w:sz="0" w:space="0" w:color="auto"/>
        <w:left w:val="none" w:sz="0" w:space="0" w:color="auto"/>
        <w:bottom w:val="none" w:sz="0" w:space="0" w:color="auto"/>
        <w:right w:val="none" w:sz="0" w:space="0" w:color="auto"/>
      </w:divBdr>
    </w:div>
    <w:div w:id="1066489680">
      <w:bodyDiv w:val="1"/>
      <w:marLeft w:val="0"/>
      <w:marRight w:val="0"/>
      <w:marTop w:val="0"/>
      <w:marBottom w:val="0"/>
      <w:divBdr>
        <w:top w:val="none" w:sz="0" w:space="0" w:color="auto"/>
        <w:left w:val="none" w:sz="0" w:space="0" w:color="auto"/>
        <w:bottom w:val="none" w:sz="0" w:space="0" w:color="auto"/>
        <w:right w:val="none" w:sz="0" w:space="0" w:color="auto"/>
      </w:divBdr>
    </w:div>
    <w:div w:id="1110006890">
      <w:bodyDiv w:val="1"/>
      <w:marLeft w:val="0"/>
      <w:marRight w:val="0"/>
      <w:marTop w:val="0"/>
      <w:marBottom w:val="0"/>
      <w:divBdr>
        <w:top w:val="none" w:sz="0" w:space="0" w:color="auto"/>
        <w:left w:val="none" w:sz="0" w:space="0" w:color="auto"/>
        <w:bottom w:val="none" w:sz="0" w:space="0" w:color="auto"/>
        <w:right w:val="none" w:sz="0" w:space="0" w:color="auto"/>
      </w:divBdr>
    </w:div>
    <w:div w:id="1110784059">
      <w:bodyDiv w:val="1"/>
      <w:marLeft w:val="0"/>
      <w:marRight w:val="0"/>
      <w:marTop w:val="0"/>
      <w:marBottom w:val="0"/>
      <w:divBdr>
        <w:top w:val="none" w:sz="0" w:space="0" w:color="auto"/>
        <w:left w:val="none" w:sz="0" w:space="0" w:color="auto"/>
        <w:bottom w:val="none" w:sz="0" w:space="0" w:color="auto"/>
        <w:right w:val="none" w:sz="0" w:space="0" w:color="auto"/>
      </w:divBdr>
      <w:divsChild>
        <w:div w:id="1838109173">
          <w:marLeft w:val="0"/>
          <w:marRight w:val="0"/>
          <w:marTop w:val="0"/>
          <w:marBottom w:val="0"/>
          <w:divBdr>
            <w:top w:val="none" w:sz="0" w:space="0" w:color="auto"/>
            <w:left w:val="none" w:sz="0" w:space="0" w:color="auto"/>
            <w:bottom w:val="none" w:sz="0" w:space="0" w:color="auto"/>
            <w:right w:val="none" w:sz="0" w:space="0" w:color="auto"/>
          </w:divBdr>
        </w:div>
      </w:divsChild>
    </w:div>
    <w:div w:id="1113011547">
      <w:bodyDiv w:val="1"/>
      <w:marLeft w:val="0"/>
      <w:marRight w:val="0"/>
      <w:marTop w:val="0"/>
      <w:marBottom w:val="0"/>
      <w:divBdr>
        <w:top w:val="none" w:sz="0" w:space="0" w:color="auto"/>
        <w:left w:val="none" w:sz="0" w:space="0" w:color="auto"/>
        <w:bottom w:val="none" w:sz="0" w:space="0" w:color="auto"/>
        <w:right w:val="none" w:sz="0" w:space="0" w:color="auto"/>
      </w:divBdr>
    </w:div>
    <w:div w:id="1138302582">
      <w:bodyDiv w:val="1"/>
      <w:marLeft w:val="0"/>
      <w:marRight w:val="0"/>
      <w:marTop w:val="0"/>
      <w:marBottom w:val="0"/>
      <w:divBdr>
        <w:top w:val="none" w:sz="0" w:space="0" w:color="auto"/>
        <w:left w:val="none" w:sz="0" w:space="0" w:color="auto"/>
        <w:bottom w:val="none" w:sz="0" w:space="0" w:color="auto"/>
        <w:right w:val="none" w:sz="0" w:space="0" w:color="auto"/>
      </w:divBdr>
    </w:div>
    <w:div w:id="1184631731">
      <w:bodyDiv w:val="1"/>
      <w:marLeft w:val="0"/>
      <w:marRight w:val="0"/>
      <w:marTop w:val="0"/>
      <w:marBottom w:val="0"/>
      <w:divBdr>
        <w:top w:val="none" w:sz="0" w:space="0" w:color="auto"/>
        <w:left w:val="none" w:sz="0" w:space="0" w:color="auto"/>
        <w:bottom w:val="none" w:sz="0" w:space="0" w:color="auto"/>
        <w:right w:val="none" w:sz="0" w:space="0" w:color="auto"/>
      </w:divBdr>
      <w:divsChild>
        <w:div w:id="680818268">
          <w:marLeft w:val="0"/>
          <w:marRight w:val="0"/>
          <w:marTop w:val="0"/>
          <w:marBottom w:val="0"/>
          <w:divBdr>
            <w:top w:val="none" w:sz="0" w:space="0" w:color="auto"/>
            <w:left w:val="none" w:sz="0" w:space="0" w:color="auto"/>
            <w:bottom w:val="none" w:sz="0" w:space="0" w:color="auto"/>
            <w:right w:val="none" w:sz="0" w:space="0" w:color="auto"/>
          </w:divBdr>
        </w:div>
      </w:divsChild>
    </w:div>
    <w:div w:id="1299340380">
      <w:bodyDiv w:val="1"/>
      <w:marLeft w:val="0"/>
      <w:marRight w:val="0"/>
      <w:marTop w:val="0"/>
      <w:marBottom w:val="0"/>
      <w:divBdr>
        <w:top w:val="none" w:sz="0" w:space="0" w:color="auto"/>
        <w:left w:val="none" w:sz="0" w:space="0" w:color="auto"/>
        <w:bottom w:val="none" w:sz="0" w:space="0" w:color="auto"/>
        <w:right w:val="none" w:sz="0" w:space="0" w:color="auto"/>
      </w:divBdr>
      <w:divsChild>
        <w:div w:id="1072508283">
          <w:marLeft w:val="0"/>
          <w:marRight w:val="0"/>
          <w:marTop w:val="0"/>
          <w:marBottom w:val="0"/>
          <w:divBdr>
            <w:top w:val="none" w:sz="0" w:space="0" w:color="auto"/>
            <w:left w:val="none" w:sz="0" w:space="0" w:color="auto"/>
            <w:bottom w:val="none" w:sz="0" w:space="0" w:color="auto"/>
            <w:right w:val="none" w:sz="0" w:space="0" w:color="auto"/>
          </w:divBdr>
        </w:div>
        <w:div w:id="1819377179">
          <w:marLeft w:val="0"/>
          <w:marRight w:val="0"/>
          <w:marTop w:val="0"/>
          <w:marBottom w:val="0"/>
          <w:divBdr>
            <w:top w:val="none" w:sz="0" w:space="0" w:color="auto"/>
            <w:left w:val="none" w:sz="0" w:space="0" w:color="auto"/>
            <w:bottom w:val="none" w:sz="0" w:space="0" w:color="auto"/>
            <w:right w:val="none" w:sz="0" w:space="0" w:color="auto"/>
          </w:divBdr>
        </w:div>
        <w:div w:id="2064257487">
          <w:marLeft w:val="0"/>
          <w:marRight w:val="0"/>
          <w:marTop w:val="0"/>
          <w:marBottom w:val="0"/>
          <w:divBdr>
            <w:top w:val="none" w:sz="0" w:space="0" w:color="auto"/>
            <w:left w:val="none" w:sz="0" w:space="0" w:color="auto"/>
            <w:bottom w:val="none" w:sz="0" w:space="0" w:color="auto"/>
            <w:right w:val="none" w:sz="0" w:space="0" w:color="auto"/>
          </w:divBdr>
        </w:div>
      </w:divsChild>
    </w:div>
    <w:div w:id="1300262744">
      <w:bodyDiv w:val="1"/>
      <w:marLeft w:val="0"/>
      <w:marRight w:val="0"/>
      <w:marTop w:val="0"/>
      <w:marBottom w:val="0"/>
      <w:divBdr>
        <w:top w:val="none" w:sz="0" w:space="0" w:color="auto"/>
        <w:left w:val="none" w:sz="0" w:space="0" w:color="auto"/>
        <w:bottom w:val="none" w:sz="0" w:space="0" w:color="auto"/>
        <w:right w:val="none" w:sz="0" w:space="0" w:color="auto"/>
      </w:divBdr>
    </w:div>
    <w:div w:id="1303461271">
      <w:bodyDiv w:val="1"/>
      <w:marLeft w:val="0"/>
      <w:marRight w:val="0"/>
      <w:marTop w:val="0"/>
      <w:marBottom w:val="0"/>
      <w:divBdr>
        <w:top w:val="none" w:sz="0" w:space="0" w:color="auto"/>
        <w:left w:val="none" w:sz="0" w:space="0" w:color="auto"/>
        <w:bottom w:val="none" w:sz="0" w:space="0" w:color="auto"/>
        <w:right w:val="none" w:sz="0" w:space="0" w:color="auto"/>
      </w:divBdr>
    </w:div>
    <w:div w:id="1306396408">
      <w:bodyDiv w:val="1"/>
      <w:marLeft w:val="0"/>
      <w:marRight w:val="0"/>
      <w:marTop w:val="0"/>
      <w:marBottom w:val="0"/>
      <w:divBdr>
        <w:top w:val="none" w:sz="0" w:space="0" w:color="auto"/>
        <w:left w:val="none" w:sz="0" w:space="0" w:color="auto"/>
        <w:bottom w:val="none" w:sz="0" w:space="0" w:color="auto"/>
        <w:right w:val="none" w:sz="0" w:space="0" w:color="auto"/>
      </w:divBdr>
    </w:div>
    <w:div w:id="1341351668">
      <w:bodyDiv w:val="1"/>
      <w:marLeft w:val="0"/>
      <w:marRight w:val="0"/>
      <w:marTop w:val="0"/>
      <w:marBottom w:val="0"/>
      <w:divBdr>
        <w:top w:val="none" w:sz="0" w:space="0" w:color="auto"/>
        <w:left w:val="none" w:sz="0" w:space="0" w:color="auto"/>
        <w:bottom w:val="none" w:sz="0" w:space="0" w:color="auto"/>
        <w:right w:val="none" w:sz="0" w:space="0" w:color="auto"/>
      </w:divBdr>
    </w:div>
    <w:div w:id="1493447665">
      <w:bodyDiv w:val="1"/>
      <w:marLeft w:val="0"/>
      <w:marRight w:val="0"/>
      <w:marTop w:val="0"/>
      <w:marBottom w:val="0"/>
      <w:divBdr>
        <w:top w:val="none" w:sz="0" w:space="0" w:color="auto"/>
        <w:left w:val="none" w:sz="0" w:space="0" w:color="auto"/>
        <w:bottom w:val="none" w:sz="0" w:space="0" w:color="auto"/>
        <w:right w:val="none" w:sz="0" w:space="0" w:color="auto"/>
      </w:divBdr>
    </w:div>
    <w:div w:id="1524202212">
      <w:bodyDiv w:val="1"/>
      <w:marLeft w:val="0"/>
      <w:marRight w:val="0"/>
      <w:marTop w:val="0"/>
      <w:marBottom w:val="0"/>
      <w:divBdr>
        <w:top w:val="none" w:sz="0" w:space="0" w:color="auto"/>
        <w:left w:val="none" w:sz="0" w:space="0" w:color="auto"/>
        <w:bottom w:val="none" w:sz="0" w:space="0" w:color="auto"/>
        <w:right w:val="none" w:sz="0" w:space="0" w:color="auto"/>
      </w:divBdr>
    </w:div>
    <w:div w:id="1585919758">
      <w:bodyDiv w:val="1"/>
      <w:marLeft w:val="0"/>
      <w:marRight w:val="0"/>
      <w:marTop w:val="0"/>
      <w:marBottom w:val="0"/>
      <w:divBdr>
        <w:top w:val="none" w:sz="0" w:space="0" w:color="auto"/>
        <w:left w:val="none" w:sz="0" w:space="0" w:color="auto"/>
        <w:bottom w:val="none" w:sz="0" w:space="0" w:color="auto"/>
        <w:right w:val="none" w:sz="0" w:space="0" w:color="auto"/>
      </w:divBdr>
    </w:div>
    <w:div w:id="1621034411">
      <w:bodyDiv w:val="1"/>
      <w:marLeft w:val="0"/>
      <w:marRight w:val="0"/>
      <w:marTop w:val="0"/>
      <w:marBottom w:val="0"/>
      <w:divBdr>
        <w:top w:val="none" w:sz="0" w:space="0" w:color="auto"/>
        <w:left w:val="none" w:sz="0" w:space="0" w:color="auto"/>
        <w:bottom w:val="none" w:sz="0" w:space="0" w:color="auto"/>
        <w:right w:val="none" w:sz="0" w:space="0" w:color="auto"/>
      </w:divBdr>
      <w:divsChild>
        <w:div w:id="96604217">
          <w:marLeft w:val="0"/>
          <w:marRight w:val="0"/>
          <w:marTop w:val="0"/>
          <w:marBottom w:val="0"/>
          <w:divBdr>
            <w:top w:val="none" w:sz="0" w:space="0" w:color="auto"/>
            <w:left w:val="none" w:sz="0" w:space="0" w:color="auto"/>
            <w:bottom w:val="none" w:sz="0" w:space="0" w:color="auto"/>
            <w:right w:val="none" w:sz="0" w:space="0" w:color="auto"/>
          </w:divBdr>
        </w:div>
      </w:divsChild>
    </w:div>
    <w:div w:id="1690528815">
      <w:bodyDiv w:val="1"/>
      <w:marLeft w:val="0"/>
      <w:marRight w:val="0"/>
      <w:marTop w:val="0"/>
      <w:marBottom w:val="0"/>
      <w:divBdr>
        <w:top w:val="none" w:sz="0" w:space="0" w:color="auto"/>
        <w:left w:val="none" w:sz="0" w:space="0" w:color="auto"/>
        <w:bottom w:val="none" w:sz="0" w:space="0" w:color="auto"/>
        <w:right w:val="none" w:sz="0" w:space="0" w:color="auto"/>
      </w:divBdr>
    </w:div>
    <w:div w:id="1731684742">
      <w:bodyDiv w:val="1"/>
      <w:marLeft w:val="0"/>
      <w:marRight w:val="0"/>
      <w:marTop w:val="0"/>
      <w:marBottom w:val="0"/>
      <w:divBdr>
        <w:top w:val="none" w:sz="0" w:space="0" w:color="auto"/>
        <w:left w:val="none" w:sz="0" w:space="0" w:color="auto"/>
        <w:bottom w:val="none" w:sz="0" w:space="0" w:color="auto"/>
        <w:right w:val="none" w:sz="0" w:space="0" w:color="auto"/>
      </w:divBdr>
      <w:divsChild>
        <w:div w:id="1948851071">
          <w:marLeft w:val="0"/>
          <w:marRight w:val="0"/>
          <w:marTop w:val="0"/>
          <w:marBottom w:val="0"/>
          <w:divBdr>
            <w:top w:val="none" w:sz="0" w:space="0" w:color="auto"/>
            <w:left w:val="none" w:sz="0" w:space="0" w:color="auto"/>
            <w:bottom w:val="none" w:sz="0" w:space="0" w:color="auto"/>
            <w:right w:val="none" w:sz="0" w:space="0" w:color="auto"/>
          </w:divBdr>
        </w:div>
      </w:divsChild>
    </w:div>
    <w:div w:id="177374104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71">
          <w:marLeft w:val="0"/>
          <w:marRight w:val="0"/>
          <w:marTop w:val="0"/>
          <w:marBottom w:val="0"/>
          <w:divBdr>
            <w:top w:val="none" w:sz="0" w:space="0" w:color="auto"/>
            <w:left w:val="none" w:sz="0" w:space="0" w:color="auto"/>
            <w:bottom w:val="none" w:sz="0" w:space="0" w:color="auto"/>
            <w:right w:val="none" w:sz="0" w:space="0" w:color="auto"/>
          </w:divBdr>
        </w:div>
      </w:divsChild>
    </w:div>
    <w:div w:id="1823040271">
      <w:bodyDiv w:val="1"/>
      <w:marLeft w:val="0"/>
      <w:marRight w:val="0"/>
      <w:marTop w:val="0"/>
      <w:marBottom w:val="0"/>
      <w:divBdr>
        <w:top w:val="none" w:sz="0" w:space="0" w:color="auto"/>
        <w:left w:val="none" w:sz="0" w:space="0" w:color="auto"/>
        <w:bottom w:val="none" w:sz="0" w:space="0" w:color="auto"/>
        <w:right w:val="none" w:sz="0" w:space="0" w:color="auto"/>
      </w:divBdr>
      <w:divsChild>
        <w:div w:id="77292221">
          <w:marLeft w:val="0"/>
          <w:marRight w:val="0"/>
          <w:marTop w:val="0"/>
          <w:marBottom w:val="0"/>
          <w:divBdr>
            <w:top w:val="none" w:sz="0" w:space="0" w:color="auto"/>
            <w:left w:val="none" w:sz="0" w:space="0" w:color="auto"/>
            <w:bottom w:val="none" w:sz="0" w:space="0" w:color="auto"/>
            <w:right w:val="none" w:sz="0" w:space="0" w:color="auto"/>
          </w:divBdr>
        </w:div>
        <w:div w:id="616911339">
          <w:marLeft w:val="0"/>
          <w:marRight w:val="0"/>
          <w:marTop w:val="0"/>
          <w:marBottom w:val="0"/>
          <w:divBdr>
            <w:top w:val="none" w:sz="0" w:space="0" w:color="auto"/>
            <w:left w:val="none" w:sz="0" w:space="0" w:color="auto"/>
            <w:bottom w:val="none" w:sz="0" w:space="0" w:color="auto"/>
            <w:right w:val="none" w:sz="0" w:space="0" w:color="auto"/>
          </w:divBdr>
        </w:div>
        <w:div w:id="856581983">
          <w:marLeft w:val="0"/>
          <w:marRight w:val="0"/>
          <w:marTop w:val="0"/>
          <w:marBottom w:val="0"/>
          <w:divBdr>
            <w:top w:val="none" w:sz="0" w:space="0" w:color="auto"/>
            <w:left w:val="none" w:sz="0" w:space="0" w:color="auto"/>
            <w:bottom w:val="none" w:sz="0" w:space="0" w:color="auto"/>
            <w:right w:val="none" w:sz="0" w:space="0" w:color="auto"/>
          </w:divBdr>
        </w:div>
        <w:div w:id="926504297">
          <w:marLeft w:val="0"/>
          <w:marRight w:val="0"/>
          <w:marTop w:val="0"/>
          <w:marBottom w:val="0"/>
          <w:divBdr>
            <w:top w:val="none" w:sz="0" w:space="0" w:color="auto"/>
            <w:left w:val="none" w:sz="0" w:space="0" w:color="auto"/>
            <w:bottom w:val="none" w:sz="0" w:space="0" w:color="auto"/>
            <w:right w:val="none" w:sz="0" w:space="0" w:color="auto"/>
          </w:divBdr>
        </w:div>
        <w:div w:id="976953567">
          <w:marLeft w:val="0"/>
          <w:marRight w:val="0"/>
          <w:marTop w:val="0"/>
          <w:marBottom w:val="0"/>
          <w:divBdr>
            <w:top w:val="none" w:sz="0" w:space="0" w:color="auto"/>
            <w:left w:val="none" w:sz="0" w:space="0" w:color="auto"/>
            <w:bottom w:val="none" w:sz="0" w:space="0" w:color="auto"/>
            <w:right w:val="none" w:sz="0" w:space="0" w:color="auto"/>
          </w:divBdr>
        </w:div>
        <w:div w:id="1469589627">
          <w:marLeft w:val="0"/>
          <w:marRight w:val="0"/>
          <w:marTop w:val="0"/>
          <w:marBottom w:val="0"/>
          <w:divBdr>
            <w:top w:val="none" w:sz="0" w:space="0" w:color="auto"/>
            <w:left w:val="none" w:sz="0" w:space="0" w:color="auto"/>
            <w:bottom w:val="none" w:sz="0" w:space="0" w:color="auto"/>
            <w:right w:val="none" w:sz="0" w:space="0" w:color="auto"/>
          </w:divBdr>
        </w:div>
        <w:div w:id="1588265969">
          <w:marLeft w:val="0"/>
          <w:marRight w:val="0"/>
          <w:marTop w:val="0"/>
          <w:marBottom w:val="0"/>
          <w:divBdr>
            <w:top w:val="none" w:sz="0" w:space="0" w:color="auto"/>
            <w:left w:val="none" w:sz="0" w:space="0" w:color="auto"/>
            <w:bottom w:val="none" w:sz="0" w:space="0" w:color="auto"/>
            <w:right w:val="none" w:sz="0" w:space="0" w:color="auto"/>
          </w:divBdr>
        </w:div>
        <w:div w:id="1820339746">
          <w:marLeft w:val="0"/>
          <w:marRight w:val="0"/>
          <w:marTop w:val="0"/>
          <w:marBottom w:val="0"/>
          <w:divBdr>
            <w:top w:val="none" w:sz="0" w:space="0" w:color="auto"/>
            <w:left w:val="none" w:sz="0" w:space="0" w:color="auto"/>
            <w:bottom w:val="none" w:sz="0" w:space="0" w:color="auto"/>
            <w:right w:val="none" w:sz="0" w:space="0" w:color="auto"/>
          </w:divBdr>
        </w:div>
        <w:div w:id="2083526325">
          <w:marLeft w:val="0"/>
          <w:marRight w:val="0"/>
          <w:marTop w:val="0"/>
          <w:marBottom w:val="0"/>
          <w:divBdr>
            <w:top w:val="none" w:sz="0" w:space="0" w:color="auto"/>
            <w:left w:val="none" w:sz="0" w:space="0" w:color="auto"/>
            <w:bottom w:val="none" w:sz="0" w:space="0" w:color="auto"/>
            <w:right w:val="none" w:sz="0" w:space="0" w:color="auto"/>
          </w:divBdr>
        </w:div>
      </w:divsChild>
    </w:div>
    <w:div w:id="1823764775">
      <w:bodyDiv w:val="1"/>
      <w:marLeft w:val="0"/>
      <w:marRight w:val="0"/>
      <w:marTop w:val="0"/>
      <w:marBottom w:val="0"/>
      <w:divBdr>
        <w:top w:val="none" w:sz="0" w:space="0" w:color="auto"/>
        <w:left w:val="none" w:sz="0" w:space="0" w:color="auto"/>
        <w:bottom w:val="none" w:sz="0" w:space="0" w:color="auto"/>
        <w:right w:val="none" w:sz="0" w:space="0" w:color="auto"/>
      </w:divBdr>
    </w:div>
    <w:div w:id="1917470020">
      <w:bodyDiv w:val="1"/>
      <w:marLeft w:val="0"/>
      <w:marRight w:val="0"/>
      <w:marTop w:val="0"/>
      <w:marBottom w:val="0"/>
      <w:divBdr>
        <w:top w:val="none" w:sz="0" w:space="0" w:color="auto"/>
        <w:left w:val="none" w:sz="0" w:space="0" w:color="auto"/>
        <w:bottom w:val="none" w:sz="0" w:space="0" w:color="auto"/>
        <w:right w:val="none" w:sz="0" w:space="0" w:color="auto"/>
      </w:divBdr>
    </w:div>
    <w:div w:id="1920290380">
      <w:bodyDiv w:val="1"/>
      <w:marLeft w:val="0"/>
      <w:marRight w:val="0"/>
      <w:marTop w:val="0"/>
      <w:marBottom w:val="0"/>
      <w:divBdr>
        <w:top w:val="none" w:sz="0" w:space="0" w:color="auto"/>
        <w:left w:val="none" w:sz="0" w:space="0" w:color="auto"/>
        <w:bottom w:val="none" w:sz="0" w:space="0" w:color="auto"/>
        <w:right w:val="none" w:sz="0" w:space="0" w:color="auto"/>
      </w:divBdr>
    </w:div>
    <w:div w:id="2013993963">
      <w:bodyDiv w:val="1"/>
      <w:marLeft w:val="0"/>
      <w:marRight w:val="0"/>
      <w:marTop w:val="0"/>
      <w:marBottom w:val="0"/>
      <w:divBdr>
        <w:top w:val="none" w:sz="0" w:space="0" w:color="auto"/>
        <w:left w:val="none" w:sz="0" w:space="0" w:color="auto"/>
        <w:bottom w:val="none" w:sz="0" w:space="0" w:color="auto"/>
        <w:right w:val="none" w:sz="0" w:space="0" w:color="auto"/>
      </w:divBdr>
    </w:div>
    <w:div w:id="2030596598">
      <w:bodyDiv w:val="1"/>
      <w:marLeft w:val="0"/>
      <w:marRight w:val="0"/>
      <w:marTop w:val="0"/>
      <w:marBottom w:val="0"/>
      <w:divBdr>
        <w:top w:val="none" w:sz="0" w:space="0" w:color="auto"/>
        <w:left w:val="none" w:sz="0" w:space="0" w:color="auto"/>
        <w:bottom w:val="none" w:sz="0" w:space="0" w:color="auto"/>
        <w:right w:val="none" w:sz="0" w:space="0" w:color="auto"/>
      </w:divBdr>
    </w:div>
    <w:div w:id="2037265068">
      <w:bodyDiv w:val="1"/>
      <w:marLeft w:val="0"/>
      <w:marRight w:val="0"/>
      <w:marTop w:val="0"/>
      <w:marBottom w:val="0"/>
      <w:divBdr>
        <w:top w:val="none" w:sz="0" w:space="0" w:color="auto"/>
        <w:left w:val="none" w:sz="0" w:space="0" w:color="auto"/>
        <w:bottom w:val="none" w:sz="0" w:space="0" w:color="auto"/>
        <w:right w:val="none" w:sz="0" w:space="0" w:color="auto"/>
      </w:divBdr>
      <w:divsChild>
        <w:div w:id="1676106912">
          <w:marLeft w:val="0"/>
          <w:marRight w:val="0"/>
          <w:marTop w:val="0"/>
          <w:marBottom w:val="0"/>
          <w:divBdr>
            <w:top w:val="none" w:sz="0" w:space="0" w:color="auto"/>
            <w:left w:val="none" w:sz="0" w:space="0" w:color="auto"/>
            <w:bottom w:val="none" w:sz="0" w:space="0" w:color="auto"/>
            <w:right w:val="none" w:sz="0" w:space="0" w:color="auto"/>
          </w:divBdr>
        </w:div>
      </w:divsChild>
    </w:div>
    <w:div w:id="2121290513">
      <w:bodyDiv w:val="1"/>
      <w:marLeft w:val="0"/>
      <w:marRight w:val="0"/>
      <w:marTop w:val="0"/>
      <w:marBottom w:val="0"/>
      <w:divBdr>
        <w:top w:val="none" w:sz="0" w:space="0" w:color="auto"/>
        <w:left w:val="none" w:sz="0" w:space="0" w:color="auto"/>
        <w:bottom w:val="none" w:sz="0" w:space="0" w:color="auto"/>
        <w:right w:val="none" w:sz="0" w:space="0" w:color="auto"/>
      </w:divBdr>
      <w:divsChild>
        <w:div w:id="1312366441">
          <w:marLeft w:val="0"/>
          <w:marRight w:val="0"/>
          <w:marTop w:val="0"/>
          <w:marBottom w:val="0"/>
          <w:divBdr>
            <w:top w:val="none" w:sz="0" w:space="0" w:color="auto"/>
            <w:left w:val="none" w:sz="0" w:space="0" w:color="auto"/>
            <w:bottom w:val="none" w:sz="0" w:space="0" w:color="auto"/>
            <w:right w:val="none" w:sz="0" w:space="0" w:color="auto"/>
          </w:divBdr>
        </w:div>
      </w:divsChild>
    </w:div>
    <w:div w:id="2143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Fra10</b:Tag>
    <b:SourceType>JournalArticle</b:SourceType>
    <b:Guid>{3D90A9D9-651B-437B-8B1E-3ACF5AA82AD4}</b:Guid>
    <b:Author>
      <b:Author>
        <b:NameList>
          <b:Person>
            <b:Last>Frame</b:Last>
            <b:First>M,</b:First>
          </b:Person>
          <b:Person>
            <b:Last>Roberto</b:Last>
            <b:First>K,</b:First>
          </b:Person>
          <b:Person>
            <b:Last>Schwab</b:Last>
            <b:First>A,</b:First>
          </b:Person>
          <b:Person>
            <b:Last>Harris</b:Last>
            <b:First>C.</b:First>
          </b:Person>
        </b:NameList>
      </b:Author>
    </b:Author>
    <b:Title>What is important on the job? Differences across gender, perspective, and job level.</b:Title>
    <b:Year>2010</b:Year>
    <b:JournalName>Journal of Applied Social Psychology</b:JournalName>
    <b:Pages>40, 36–56</b:Pages>
    <b:RefOrder>1</b:RefOrder>
  </b:Source>
  <b:Source>
    <b:Tag>Hit06</b:Tag>
    <b:SourceType>JournalArticle</b:SourceType>
    <b:Guid>{E8494E49-8362-4BA4-BF28-12E9AA00608F}</b:Guid>
    <b:Author>
      <b:Author>
        <b:NameList>
          <b:Person>
            <b:Last>Hitt</b:Last>
            <b:First>M.</b:First>
          </b:Person>
          <b:Person>
            <b:Last>Ireland</b:Last>
            <b:First>R.</b:First>
          </b:Person>
          <b:Person>
            <b:Last>Hoskisson</b:Last>
            <b:First>R.,</b:First>
          </b:Person>
        </b:NameList>
      </b:Author>
    </b:Author>
    <b:Title>Strategic Management:</b:Title>
    <b:Year>2006</b:Year>
    <b:JournalName> Competitive and Globalization 7 th ed.</b:JournalName>
    <b:Pages>17-19</b:Pages>
    <b:RefOrder>2</b:RefOrder>
  </b:Source>
  <b:Source>
    <b:Tag>Rob01</b:Tag>
    <b:SourceType>JournalArticle</b:SourceType>
    <b:Guid>{0DDE724B-D9B2-4E07-BF99-BB78894C4E9C}</b:Guid>
    <b:Author>
      <b:Author>
        <b:NameList>
          <b:Person>
            <b:Last>Robertson</b:Last>
            <b:First>I.</b:First>
          </b:Person>
        </b:NameList>
      </b:Author>
    </b:Author>
    <b:Title>Personnel selection. </b:Title>
    <b:JournalName>Journal Of Occupational &amp; Organizational Psychology, 74(4).</b:JournalName>
    <b:Year>2001</b:Year>
    <b:Pages>441</b:Pages>
    <b:RefOrder>3</b:RefOrder>
  </b:Source>
  <b:Source>
    <b:Tag>Bec02</b:Tag>
    <b:SourceType>Book</b:SourceType>
    <b:Guid>{D24DEDDE-A337-46F9-9DC1-42F4550B10FC}</b:Guid>
    <b:Author>
      <b:Author>
        <b:NameList>
          <b:Person>
            <b:Last>Bechet</b:Last>
            <b:First>T.</b:First>
          </b:Person>
        </b:NameList>
      </b:Author>
    </b:Author>
    <b:Title>Defining Staffing Requirements Where Plans Are Uncertain. In , Strategic Staffing CHAPTER 8</b:Title>
    <b:Year>2002</b:Year>
    <b:City>Chicago</b:City>
    <b:Publisher>American Management Association International.</b:Publisher>
    <b:Pages>103-115</b:Pages>
    <b:RefOrder>4</b:RefOrder>
  </b:Source>
  <b:Source>
    <b:Tag>Sou</b:Tag>
    <b:SourceType>InternetSite</b:SourceType>
    <b:Guid>{CEAD31A1-2D16-41AE-AE58-39BD74965E0B}</b:Guid>
    <b:Title>Southwest Airlines Operations – A Strategic Perspective</b:Title>
    <b:InternetSiteTitle>www.airline-industry.malq.net</b:InternetSiteTitle>
    <b:URL>http://airline-industry.malq.net/southwest-airlines-operations-a-strategic-perspective/</b:URL>
    <b:RefOrder>1</b:RefOrder>
  </b:Source>
  <b:Source>
    <b:Tag>Muk</b:Tag>
    <b:SourceType>InternetSite</b:SourceType>
    <b:Guid>{A556A0AD-498D-479D-A71C-DD87AB1AEB8E}</b:Guid>
    <b:Author>
      <b:Author>
        <b:NameList>
          <b:Person>
            <b:Last>Srinivasan</b:Last>
            <b:First>Mukund</b:First>
          </b:Person>
        </b:NameList>
      </b:Author>
    </b:Author>
    <b:Title>Southwest Airlines Operations - A Strategic Perspective</b:Title>
    <b:InternetSiteTitle>www.prism.gatech.edu</b:InternetSiteTitle>
    <b:URL>http://www.prism.gatech.edu/~bt71/mgt3501/southwest.pdf</b:URL>
    <b:RefOrder>2</b:RefOrder>
  </b:Source>
  <b:Source>
    <b:Tag>icm</b:Tag>
    <b:SourceType>InternetSite</b:SourceType>
    <b:Guid>{64821F3E-88B4-4919-B1A4-07826F5F99DB}</b:Guid>
    <b:Author>
      <b:Author>
        <b:Corporate>icmrindia.org</b:Corporate>
      </b:Author>
    </b:Author>
    <b:Title>Operations Management at Southwest Airlines</b:Title>
    <b:InternetSiteTitle>www.icmrindia.org</b:InternetSiteTitle>
    <b:URL>http://www.icmrindia.org/casestudies/catalogue/Operations/OPEA004.htm</b:URL>
    <b:RefOrder>3</b:RefOrder>
  </b:Source>
  <b:Source>
    <b:Tag>AAE12</b:Tag>
    <b:SourceType>JournalArticle</b:SourceType>
    <b:Guid>{01FE70A8-7BEC-4D15-A684-88C87E8A4A1F}</b:Guid>
    <b:Title>Economic dispatch in view of the Clean Air Act of 1990</b:Title>
    <b:Year>2012</b:Year>
    <b:Author>
      <b:Author>
        <b:NameList>
          <b:Person>
            <b:Last>El-Keib</b:Last>
            <b:First>A.A</b:First>
          </b:Person>
        </b:NameList>
      </b:Author>
    </b:Author>
    <b:JournalName>Power generation economics</b:JournalName>
    <b:Pages>972-978</b:Pages>
    <b:RefOrder>1</b:RefOrder>
  </b:Source>
  <b:Source>
    <b:Tag>Tos15</b:Tag>
    <b:SourceType>JournalArticle</b:SourceType>
    <b:Guid>{FEBDFD75-04DC-412F-A2E6-5A0337329F77}</b:Guid>
    <b:Author>
      <b:Author>
        <b:NameList>
          <b:Person>
            <b:Last>Sueyoshi</b:Last>
            <b:First>Toshiyuki</b:First>
          </b:Person>
        </b:NameList>
      </b:Author>
    </b:Author>
    <b:Title>Return to scale vs. damages to scale in data envelopment analysis: An impact of U.S. clean air act on coal-fired power plants</b:Title>
    <b:JournalName>Data envelopment analysis</b:JournalName>
    <b:Year>2015</b:Year>
    <b:Pages>144-175</b:Pages>
    <b:RefOrder>2</b:RefOrder>
  </b:Source>
  <b:Source>
    <b:Tag>Kar14</b:Tag>
    <b:SourceType>JournalArticle</b:SourceType>
    <b:Guid>{B1B12C6D-92F8-4F7A-B9F1-72B9BE88BDA7}</b:Guid>
    <b:Author>
      <b:Author>
        <b:NameList>
          <b:Person>
            <b:Last>Kramer</b:Last>
            <b:First>Karen</b:First>
          </b:Person>
          <b:Person>
            <b:Last>May</b:Last>
            <b:First>Michelle</b:First>
          </b:Person>
        </b:NameList>
      </b:Author>
    </b:Author>
    <b:Title>Enforcing the Clean water act in the twenty-first century: harnessing the power of the public spotlight</b:Title>
    <b:JournalName>The clean water act</b:JournalName>
    <b:Year>2014</b:Year>
    <b:Pages>158-166</b:Pages>
    <b:RefOrder>3</b:RefOrder>
  </b:Source>
  <b:Source>
    <b:Tag>Den14</b:Tag>
    <b:SourceType>Book</b:SourceType>
    <b:Guid>{9DEC0DC2-514A-4894-97A2-7062BC3A3B4F}</b:Guid>
    <b:Author>
      <b:Author>
        <b:NameList>
          <b:Person>
            <b:Last>Denhardt</b:Last>
          </b:Person>
          <b:Person>
            <b:Last>Denhardt</b:Last>
          </b:Person>
          <b:Person>
            <b:Last>Blanc</b:Last>
          </b:Person>
        </b:NameList>
      </b:Author>
    </b:Author>
    <b:Title>Public administration: An action orientation</b:Title>
    <b:Year>2014</b:Year>
    <b:City>Belmont, CA</b:City>
    <b:Publisher>Cengage Learning.</b:Publisher>
    <b:Edition>7th</b:Edition>
    <b:RefOrder>5</b:RefOrder>
  </b:Source>
  <b:Source>
    <b:Tag>Nel15</b:Tag>
    <b:SourceType>InternetSite</b:SourceType>
    <b:Guid>{507E8D17-B1EE-4472-9B62-C48704879F23}</b:Guid>
    <b:Author>
      <b:Author>
        <b:NameList>
          <b:Person>
            <b:Last>Nelson</b:Last>
          </b:Person>
        </b:NameList>
      </b:Author>
    </b:Author>
    <b:Title>Senate Passes Freedom Act, Ending Patriot Act Provision Lapse</b:Title>
    <b:Year>2015</b:Year>
    <b:InternetSiteTitle>US News &amp; World Report</b:InternetSiteTitle>
    <b:Month>June</b:Month>
    <b:Day>2</b:Day>
    <b:URL>https://www.usnews.com/news/articles/2015/06/02/senate-passes-freedom-act-ending-patriot-act-provision-lapse</b:URL>
    <b:RefOrder>4</b:RefOrder>
  </b:Source>
  <b:Source>
    <b:Tag>Coo14</b:Tag>
    <b:SourceType>JournalArticle</b:SourceType>
    <b:Guid>{DCBBBDD2-1BAB-4E55-9AF9-A802B1C39205}</b:Guid>
    <b:Author>
      <b:Author>
        <b:NameList>
          <b:Person>
            <b:Last>Cooke</b:Last>
          </b:Person>
        </b:NameList>
      </b:Author>
    </b:Author>
    <b:Title>Note: Securing Liberty: A Response to Debates on Section 215 of the Patriot Act</b:Title>
    <b:Year>2014</b:Year>
    <b:JournalName>Georgetown Journal of Law &amp; Public Policy </b:JournalName>
    <b:Pages>12, 889</b:Pages>
    <b:RefOrder>1</b:RefOrder>
  </b:Source>
  <b:Source>
    <b:Tag>Fis14</b:Tag>
    <b:SourceType>JournalArticle</b:SourceType>
    <b:Guid>{24D8C81E-EC31-4C2D-8391-863E724830E8}</b:Guid>
    <b:Author>
      <b:Author>
        <b:NameList>
          <b:Person>
            <b:Last>Fisher</b:Last>
          </b:Person>
        </b:NameList>
      </b:Author>
    </b:Author>
    <b:Title>Defending Congress and the Constitution</b:Title>
    <b:JournalName>Strategic Studies</b:JournalName>
    <b:Year>2014</b:Year>
    <b:Pages>8(3), 130-131</b:Pages>
    <b:RefOrder>3</b:RefOrder>
  </b:Source>
  <b:Source>
    <b:Tag>Ben16</b:Tag>
    <b:SourceType>JournalArticle</b:SourceType>
    <b:Guid>{15D26CB2-7F80-48E5-89B6-77FEBDE75A6C}</b:Guid>
    <b:Author>
      <b:Author>
        <b:NameList>
          <b:Person>
            <b:Last>Bendix</b:Last>
          </b:Person>
          <b:Person>
            <b:Last>Quirk</b:Last>
          </b:Person>
        </b:NameList>
      </b:Author>
    </b:Author>
    <b:Title>Deliberating Surveillance Policy: Congress, the FBI, and the Abuse of National Security Letters.</b:Title>
    <b:JournalName>Journal of Policy History</b:JournalName>
    <b:Year>2016</b:Year>
    <b:Pages>28(3), 447-469</b:Pages>
    <b:RefOrder>2</b:RefOrder>
  </b:Source>
</b:Sources>
</file>

<file path=customXml/itemProps1.xml><?xml version="1.0" encoding="utf-8"?>
<ds:datastoreItem xmlns:ds="http://schemas.openxmlformats.org/officeDocument/2006/customXml" ds:itemID="{61236DAA-EA83-4728-916A-FA59362A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Perry</dc:creator>
  <cp:keywords/>
  <dc:description/>
  <cp:lastModifiedBy>Jonathon Perry</cp:lastModifiedBy>
  <cp:revision>8</cp:revision>
  <dcterms:created xsi:type="dcterms:W3CDTF">2020-03-23T03:05:00Z</dcterms:created>
  <dcterms:modified xsi:type="dcterms:W3CDTF">2020-03-23T03:24:00Z</dcterms:modified>
</cp:coreProperties>
</file>