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3C151" w14:textId="77777777" w:rsidR="0023391A" w:rsidRPr="001A1F53" w:rsidRDefault="00133EF1" w:rsidP="00272EFA">
      <w:pPr>
        <w:spacing w:after="0"/>
        <w:ind w:left="720" w:firstLine="720"/>
        <w:jc w:val="center"/>
        <w:outlineLvl w:val="0"/>
        <w:rPr>
          <w:rFonts w:ascii="Arial" w:hAnsi="Arial" w:cs="Arial"/>
          <w:b/>
        </w:rPr>
      </w:pPr>
      <w:bookmarkStart w:id="0" w:name="_GoBack"/>
      <w:r w:rsidRPr="001A1F53">
        <w:rPr>
          <w:rFonts w:ascii="Arial" w:hAnsi="Arial" w:cs="Arial"/>
          <w:b/>
        </w:rPr>
        <w:t>PLAZA COLLEGE</w:t>
      </w:r>
    </w:p>
    <w:p w14:paraId="6A1C2979" w14:textId="77777777" w:rsidR="00272EFA" w:rsidRPr="001A1F53" w:rsidRDefault="00272EFA" w:rsidP="00272EFA">
      <w:pPr>
        <w:spacing w:after="0"/>
        <w:ind w:left="720" w:firstLine="720"/>
        <w:jc w:val="center"/>
        <w:outlineLvl w:val="0"/>
        <w:rPr>
          <w:rFonts w:ascii="Arial" w:hAnsi="Arial" w:cs="Arial"/>
          <w:b/>
        </w:rPr>
      </w:pPr>
    </w:p>
    <w:p w14:paraId="556FFA1F" w14:textId="2D6C4ADB" w:rsidR="0023391A" w:rsidRPr="001A1F53" w:rsidRDefault="001A1F53" w:rsidP="001A1F53">
      <w:pPr>
        <w:spacing w:after="0"/>
        <w:outlineLvl w:val="0"/>
        <w:rPr>
          <w:rFonts w:ascii="Arial" w:hAnsi="Arial" w:cs="Arial"/>
          <w:b/>
        </w:rPr>
      </w:pPr>
      <w:r w:rsidRPr="001A1F53">
        <w:rPr>
          <w:rFonts w:ascii="Arial" w:hAnsi="Arial" w:cs="Arial"/>
          <w:b/>
        </w:rPr>
        <w:t>HT</w:t>
      </w:r>
      <w:r w:rsidR="0023391A" w:rsidRPr="001A1F53">
        <w:rPr>
          <w:rFonts w:ascii="Arial" w:hAnsi="Arial" w:cs="Arial"/>
          <w:b/>
        </w:rPr>
        <w:t>108 Health Care Data, Indexes and Registries 3 Credits (2 Didactic, 1 Lab)</w:t>
      </w:r>
    </w:p>
    <w:p w14:paraId="43DB5812" w14:textId="2357B0FE" w:rsidR="0023391A" w:rsidRPr="001A1F53" w:rsidRDefault="0023391A" w:rsidP="00272EFA">
      <w:pPr>
        <w:spacing w:after="0"/>
        <w:jc w:val="center"/>
        <w:rPr>
          <w:rFonts w:ascii="Arial" w:hAnsi="Arial" w:cs="Arial"/>
          <w:b/>
        </w:rPr>
      </w:pPr>
      <w:r w:rsidRPr="001A1F53">
        <w:rPr>
          <w:rFonts w:ascii="Arial" w:hAnsi="Arial" w:cs="Arial"/>
          <w:b/>
        </w:rPr>
        <w:t>C</w:t>
      </w:r>
      <w:r w:rsidR="00D01F1E" w:rsidRPr="001A1F53">
        <w:rPr>
          <w:rFonts w:ascii="Arial" w:hAnsi="Arial" w:cs="Arial"/>
          <w:b/>
        </w:rPr>
        <w:t xml:space="preserve">ase Study: </w:t>
      </w:r>
      <w:r w:rsidR="00A009D8" w:rsidRPr="001A1F53">
        <w:rPr>
          <w:rFonts w:ascii="Arial" w:hAnsi="Arial" w:cs="Arial"/>
          <w:b/>
        </w:rPr>
        <w:t xml:space="preserve"> Sentinel Event Policy and Procedure Analysis (</w:t>
      </w:r>
      <w:r w:rsidR="006B10D1" w:rsidRPr="001A1F53">
        <w:rPr>
          <w:rFonts w:ascii="Arial" w:hAnsi="Arial" w:cs="Arial"/>
          <w:b/>
        </w:rPr>
        <w:t>NEW)</w:t>
      </w:r>
    </w:p>
    <w:p w14:paraId="50CE7817" w14:textId="77777777" w:rsidR="00133EF1" w:rsidRPr="001A1F53" w:rsidRDefault="00133EF1" w:rsidP="00272EFA">
      <w:pPr>
        <w:spacing w:after="0"/>
        <w:jc w:val="center"/>
        <w:rPr>
          <w:rFonts w:ascii="Arial" w:hAnsi="Arial" w:cs="Arial"/>
          <w:b/>
        </w:rPr>
      </w:pPr>
    </w:p>
    <w:p w14:paraId="1BE1E41F" w14:textId="77777777" w:rsidR="0023391A" w:rsidRPr="001A1F53" w:rsidRDefault="00DE2DA9" w:rsidP="00272EFA">
      <w:pPr>
        <w:spacing w:after="0"/>
        <w:outlineLvl w:val="0"/>
        <w:rPr>
          <w:rFonts w:ascii="Arial" w:hAnsi="Arial" w:cs="Arial"/>
          <w:b/>
        </w:rPr>
      </w:pPr>
      <w:r w:rsidRPr="001A1F53">
        <w:rPr>
          <w:rFonts w:ascii="Arial" w:hAnsi="Arial" w:cs="Arial"/>
          <w:b/>
        </w:rPr>
        <w:t>Student Name: ___________________________________</w:t>
      </w:r>
      <w:r w:rsidRPr="001A1F53">
        <w:rPr>
          <w:rFonts w:ascii="Arial" w:hAnsi="Arial" w:cs="Arial"/>
          <w:b/>
        </w:rPr>
        <w:tab/>
      </w:r>
      <w:r w:rsidRPr="001A1F53">
        <w:rPr>
          <w:rFonts w:ascii="Arial" w:hAnsi="Arial" w:cs="Arial"/>
          <w:b/>
        </w:rPr>
        <w:tab/>
        <w:t>Date: ________</w:t>
      </w:r>
    </w:p>
    <w:p w14:paraId="43F943F7" w14:textId="77777777" w:rsidR="00272EFA" w:rsidRPr="001A1F53" w:rsidRDefault="00272EFA" w:rsidP="00272EFA">
      <w:pPr>
        <w:spacing w:after="0"/>
        <w:outlineLvl w:val="0"/>
        <w:rPr>
          <w:rFonts w:ascii="Arial" w:hAnsi="Arial" w:cs="Arial"/>
          <w:b/>
        </w:rPr>
      </w:pPr>
    </w:p>
    <w:p w14:paraId="7104C3FF" w14:textId="1CF7E636" w:rsidR="009E3BD5" w:rsidRPr="001A1F53" w:rsidRDefault="00C410AC" w:rsidP="009E3BD5">
      <w:pPr>
        <w:spacing w:after="0"/>
        <w:outlineLvl w:val="0"/>
        <w:rPr>
          <w:rFonts w:ascii="Arial" w:hAnsi="Arial" w:cs="Arial"/>
          <w:b/>
        </w:rPr>
      </w:pPr>
      <w:r>
        <w:rPr>
          <w:rFonts w:ascii="Arial" w:hAnsi="Arial" w:cs="Arial"/>
          <w:b/>
        </w:rPr>
        <w:t>Domain III:</w:t>
      </w:r>
      <w:r>
        <w:rPr>
          <w:rFonts w:ascii="Arial" w:hAnsi="Arial" w:cs="Arial"/>
          <w:b/>
        </w:rPr>
        <w:tab/>
      </w:r>
      <w:r>
        <w:rPr>
          <w:rFonts w:ascii="Arial" w:hAnsi="Arial" w:cs="Arial"/>
          <w:b/>
        </w:rPr>
        <w:tab/>
      </w:r>
      <w:r>
        <w:rPr>
          <w:rFonts w:ascii="Arial" w:hAnsi="Arial" w:cs="Arial"/>
          <w:b/>
        </w:rPr>
        <w:tab/>
      </w:r>
      <w:r>
        <w:rPr>
          <w:rFonts w:ascii="Arial" w:hAnsi="Arial" w:cs="Arial"/>
          <w:b/>
        </w:rPr>
        <w:tab/>
      </w:r>
      <w:r w:rsidR="009E3BD5" w:rsidRPr="00C410AC">
        <w:rPr>
          <w:rFonts w:ascii="Arial" w:hAnsi="Arial" w:cs="Arial"/>
        </w:rPr>
        <w:t>Informatics, Analytics and Data Use</w:t>
      </w:r>
      <w:r w:rsidR="009E3BD5" w:rsidRPr="001A1F53">
        <w:rPr>
          <w:rFonts w:ascii="Arial" w:hAnsi="Arial" w:cs="Arial"/>
          <w:b/>
        </w:rPr>
        <w:t xml:space="preserve">  </w:t>
      </w:r>
    </w:p>
    <w:p w14:paraId="5EDFFFAD" w14:textId="6D476A8C" w:rsidR="009E3BD5" w:rsidRPr="00C410AC" w:rsidRDefault="009E3BD5" w:rsidP="009E3BD5">
      <w:pPr>
        <w:spacing w:after="0"/>
        <w:outlineLvl w:val="0"/>
        <w:rPr>
          <w:rFonts w:ascii="Arial" w:hAnsi="Arial" w:cs="Arial"/>
        </w:rPr>
      </w:pPr>
      <w:r w:rsidRPr="00C410AC">
        <w:rPr>
          <w:rFonts w:ascii="Arial" w:hAnsi="Arial" w:cs="Arial"/>
          <w:b/>
        </w:rPr>
        <w:t>Subdomain</w:t>
      </w:r>
      <w:r w:rsidR="00C410AC">
        <w:rPr>
          <w:rFonts w:ascii="Arial" w:hAnsi="Arial" w:cs="Arial"/>
          <w:b/>
          <w:i/>
        </w:rPr>
        <w:t xml:space="preserve"> </w:t>
      </w:r>
      <w:r w:rsidRPr="00C410AC">
        <w:rPr>
          <w:rFonts w:ascii="Arial" w:hAnsi="Arial" w:cs="Arial"/>
          <w:b/>
        </w:rPr>
        <w:t>III.H</w:t>
      </w:r>
      <w:r w:rsidRPr="001A1F53">
        <w:rPr>
          <w:rFonts w:ascii="Arial" w:hAnsi="Arial" w:cs="Arial"/>
          <w:b/>
          <w:i/>
        </w:rPr>
        <w:t>.</w:t>
      </w:r>
      <w:r w:rsidR="00C410AC" w:rsidRPr="00C410AC">
        <w:rPr>
          <w:rFonts w:ascii="Arial" w:hAnsi="Arial" w:cs="Arial"/>
          <w:b/>
        </w:rPr>
        <w:t>1</w:t>
      </w:r>
      <w:r w:rsidR="00C410AC">
        <w:rPr>
          <w:rFonts w:ascii="Arial" w:hAnsi="Arial" w:cs="Arial"/>
          <w:b/>
        </w:rPr>
        <w:t>:</w:t>
      </w:r>
      <w:r w:rsidR="00C410AC">
        <w:rPr>
          <w:rFonts w:ascii="Arial" w:hAnsi="Arial" w:cs="Arial"/>
          <w:b/>
        </w:rPr>
        <w:tab/>
      </w:r>
      <w:r w:rsidR="00C410AC">
        <w:rPr>
          <w:rFonts w:ascii="Arial" w:hAnsi="Arial" w:cs="Arial"/>
          <w:b/>
        </w:rPr>
        <w:tab/>
      </w:r>
      <w:r w:rsidR="00C410AC">
        <w:rPr>
          <w:rFonts w:ascii="Arial" w:hAnsi="Arial" w:cs="Arial"/>
          <w:b/>
        </w:rPr>
        <w:tab/>
      </w:r>
      <w:r w:rsidRPr="00C410AC">
        <w:rPr>
          <w:rFonts w:ascii="Arial" w:hAnsi="Arial" w:cs="Arial"/>
        </w:rPr>
        <w:t>Information Integrity and Data Quality</w:t>
      </w:r>
    </w:p>
    <w:p w14:paraId="4365D511" w14:textId="401DD61D" w:rsidR="000C2D82" w:rsidRPr="00C410AC" w:rsidRDefault="00C410AC" w:rsidP="00C410AC">
      <w:pPr>
        <w:spacing w:after="0"/>
        <w:ind w:left="3600" w:hanging="3600"/>
        <w:outlineLvl w:val="0"/>
        <w:rPr>
          <w:rFonts w:ascii="Arial" w:hAnsi="Arial" w:cs="Arial"/>
          <w:b/>
        </w:rPr>
      </w:pPr>
      <w:r w:rsidRPr="00C410AC">
        <w:rPr>
          <w:rFonts w:ascii="Arial" w:hAnsi="Arial" w:cs="Arial"/>
          <w:b/>
        </w:rPr>
        <w:t>Competency</w:t>
      </w:r>
      <w:r w:rsidR="009E3BD5" w:rsidRPr="00C410AC">
        <w:rPr>
          <w:rFonts w:ascii="Arial" w:hAnsi="Arial" w:cs="Arial"/>
          <w:b/>
        </w:rPr>
        <w:t xml:space="preserve">:  </w:t>
      </w:r>
      <w:r>
        <w:rPr>
          <w:rFonts w:ascii="Arial" w:hAnsi="Arial" w:cs="Arial"/>
          <w:b/>
        </w:rPr>
        <w:tab/>
      </w:r>
      <w:r w:rsidR="009E3BD5" w:rsidRPr="001A1F53">
        <w:rPr>
          <w:rFonts w:ascii="Arial" w:hAnsi="Arial" w:cs="Arial"/>
        </w:rPr>
        <w:t>Apply policies and procedures to ensure the accuracy and integrity of health data both internal and external to the health system (BL3)</w:t>
      </w:r>
    </w:p>
    <w:p w14:paraId="306B3421" w14:textId="6D4F0C5D" w:rsidR="000C2D82" w:rsidRPr="001A1F53" w:rsidRDefault="000C2D82" w:rsidP="00C410AC">
      <w:pPr>
        <w:spacing w:after="0"/>
        <w:ind w:left="3600" w:hanging="3600"/>
        <w:outlineLvl w:val="0"/>
        <w:rPr>
          <w:rFonts w:ascii="Arial" w:hAnsi="Arial" w:cs="Arial"/>
        </w:rPr>
      </w:pPr>
      <w:r w:rsidRPr="001A1F53">
        <w:rPr>
          <w:rFonts w:ascii="Arial" w:hAnsi="Arial" w:cs="Arial"/>
          <w:b/>
        </w:rPr>
        <w:t xml:space="preserve">Curricular Consideration: </w:t>
      </w:r>
      <w:r w:rsidRPr="001A1F53">
        <w:rPr>
          <w:rFonts w:ascii="Arial" w:hAnsi="Arial" w:cs="Arial"/>
        </w:rPr>
        <w:t xml:space="preserve"> </w:t>
      </w:r>
      <w:r w:rsidR="00C410AC">
        <w:rPr>
          <w:rFonts w:ascii="Arial" w:hAnsi="Arial" w:cs="Arial"/>
        </w:rPr>
        <w:tab/>
      </w:r>
      <w:r w:rsidRPr="001A1F53">
        <w:rPr>
          <w:rFonts w:ascii="Arial" w:hAnsi="Arial" w:cs="Arial"/>
        </w:rPr>
        <w:t>Disease management process; Quality assessment &amp; improvement (process, collection tools, data analysis, and reporting techniques).</w:t>
      </w:r>
    </w:p>
    <w:p w14:paraId="246B7277" w14:textId="77777777" w:rsidR="009E3BD5" w:rsidRPr="001A1F53" w:rsidRDefault="009E3BD5" w:rsidP="00272EFA">
      <w:pPr>
        <w:spacing w:after="0"/>
        <w:outlineLvl w:val="0"/>
        <w:rPr>
          <w:rFonts w:ascii="Arial" w:hAnsi="Arial" w:cs="Arial"/>
        </w:rPr>
      </w:pPr>
    </w:p>
    <w:p w14:paraId="4CB1383E" w14:textId="2BE3FCC1" w:rsidR="0023391A" w:rsidRPr="001A1F53" w:rsidRDefault="00DB7407" w:rsidP="00272EFA">
      <w:pPr>
        <w:spacing w:after="0"/>
        <w:outlineLvl w:val="0"/>
        <w:rPr>
          <w:rFonts w:ascii="Arial" w:hAnsi="Arial" w:cs="Arial"/>
          <w:b/>
        </w:rPr>
      </w:pPr>
      <w:r>
        <w:rPr>
          <w:rFonts w:ascii="Arial" w:hAnsi="Arial" w:cs="Arial"/>
          <w:b/>
        </w:rPr>
        <w:t>Domain V:</w:t>
      </w:r>
      <w:r>
        <w:rPr>
          <w:rFonts w:ascii="Arial" w:hAnsi="Arial" w:cs="Arial"/>
          <w:b/>
        </w:rPr>
        <w:tab/>
      </w:r>
      <w:r>
        <w:rPr>
          <w:rFonts w:ascii="Arial" w:hAnsi="Arial" w:cs="Arial"/>
          <w:b/>
        </w:rPr>
        <w:tab/>
      </w:r>
      <w:r>
        <w:rPr>
          <w:rFonts w:ascii="Arial" w:hAnsi="Arial" w:cs="Arial"/>
          <w:b/>
        </w:rPr>
        <w:tab/>
      </w:r>
      <w:r>
        <w:rPr>
          <w:rFonts w:ascii="Arial" w:hAnsi="Arial" w:cs="Arial"/>
          <w:b/>
        </w:rPr>
        <w:tab/>
      </w:r>
      <w:r w:rsidR="00454FEC" w:rsidRPr="00DB7407">
        <w:rPr>
          <w:rFonts w:ascii="Arial" w:hAnsi="Arial" w:cs="Arial"/>
        </w:rPr>
        <w:t xml:space="preserve">Compliance </w:t>
      </w:r>
    </w:p>
    <w:p w14:paraId="0F2EE227" w14:textId="317173E2" w:rsidR="00DE2DA9" w:rsidRPr="00DB7407" w:rsidRDefault="0023391A" w:rsidP="00272EFA">
      <w:pPr>
        <w:spacing w:after="0"/>
        <w:outlineLvl w:val="0"/>
        <w:rPr>
          <w:rFonts w:ascii="Arial" w:hAnsi="Arial" w:cs="Arial"/>
        </w:rPr>
      </w:pPr>
      <w:r w:rsidRPr="00DB7407">
        <w:rPr>
          <w:rFonts w:ascii="Arial" w:hAnsi="Arial" w:cs="Arial"/>
          <w:b/>
        </w:rPr>
        <w:t>Subdomain</w:t>
      </w:r>
      <w:r w:rsidR="00DB7407">
        <w:rPr>
          <w:rFonts w:ascii="Arial" w:hAnsi="Arial" w:cs="Arial"/>
          <w:b/>
          <w:i/>
        </w:rPr>
        <w:t xml:space="preserve"> </w:t>
      </w:r>
      <w:r w:rsidR="00DB7407">
        <w:rPr>
          <w:rFonts w:ascii="Arial" w:hAnsi="Arial" w:cs="Arial"/>
          <w:b/>
        </w:rPr>
        <w:t>V.A.1:</w:t>
      </w:r>
      <w:r w:rsidR="00DB7407">
        <w:rPr>
          <w:rFonts w:ascii="Arial" w:hAnsi="Arial" w:cs="Arial"/>
          <w:b/>
        </w:rPr>
        <w:tab/>
      </w:r>
      <w:r w:rsidR="00DB7407">
        <w:rPr>
          <w:rFonts w:ascii="Arial" w:hAnsi="Arial" w:cs="Arial"/>
          <w:b/>
        </w:rPr>
        <w:tab/>
      </w:r>
      <w:r w:rsidR="00DB7407">
        <w:rPr>
          <w:rFonts w:ascii="Arial" w:hAnsi="Arial" w:cs="Arial"/>
          <w:b/>
        </w:rPr>
        <w:tab/>
      </w:r>
      <w:r w:rsidR="00454FEC" w:rsidRPr="00DB7407">
        <w:rPr>
          <w:rFonts w:ascii="Arial" w:hAnsi="Arial" w:cs="Arial"/>
        </w:rPr>
        <w:t>Regulatory</w:t>
      </w:r>
    </w:p>
    <w:p w14:paraId="5AAA9212" w14:textId="09E70B0B" w:rsidR="00001D49" w:rsidRPr="00DB7407" w:rsidRDefault="00DB7407" w:rsidP="00DB7407">
      <w:pPr>
        <w:spacing w:after="0"/>
        <w:ind w:left="3600" w:hanging="3600"/>
        <w:outlineLvl w:val="0"/>
        <w:rPr>
          <w:rFonts w:ascii="Arial" w:hAnsi="Arial" w:cs="Arial"/>
          <w:b/>
        </w:rPr>
      </w:pPr>
      <w:r w:rsidRPr="00DB7407">
        <w:rPr>
          <w:rFonts w:ascii="Arial" w:hAnsi="Arial" w:cs="Arial"/>
          <w:b/>
        </w:rPr>
        <w:t>Competency</w:t>
      </w:r>
      <w:r w:rsidR="0023391A" w:rsidRPr="00DB7407">
        <w:rPr>
          <w:rFonts w:ascii="Arial" w:hAnsi="Arial" w:cs="Arial"/>
          <w:b/>
        </w:rPr>
        <w:t xml:space="preserve">:  </w:t>
      </w:r>
      <w:r>
        <w:rPr>
          <w:rFonts w:ascii="Arial" w:hAnsi="Arial" w:cs="Arial"/>
          <w:b/>
        </w:rPr>
        <w:tab/>
      </w:r>
      <w:r w:rsidR="00454FEC" w:rsidRPr="001A1F53">
        <w:rPr>
          <w:rFonts w:ascii="Arial" w:hAnsi="Arial" w:cs="Arial"/>
        </w:rPr>
        <w:t>Analyze policies and procedures to ensure organizational compliance with regulations and standards</w:t>
      </w:r>
      <w:r w:rsidR="00443A55" w:rsidRPr="001A1F53">
        <w:rPr>
          <w:rFonts w:ascii="Arial" w:hAnsi="Arial" w:cs="Arial"/>
        </w:rPr>
        <w:t xml:space="preserve"> (</w:t>
      </w:r>
      <w:r w:rsidR="00454FEC" w:rsidRPr="001A1F53">
        <w:rPr>
          <w:rFonts w:ascii="Arial" w:hAnsi="Arial" w:cs="Arial"/>
        </w:rPr>
        <w:t>BL4</w:t>
      </w:r>
      <w:r w:rsidR="00443A55" w:rsidRPr="001A1F53">
        <w:rPr>
          <w:rFonts w:ascii="Arial" w:hAnsi="Arial" w:cs="Arial"/>
        </w:rPr>
        <w:t>)</w:t>
      </w:r>
      <w:r w:rsidR="00454FEC" w:rsidRPr="001A1F53">
        <w:rPr>
          <w:rFonts w:ascii="Arial" w:hAnsi="Arial" w:cs="Arial"/>
        </w:rPr>
        <w:t xml:space="preserve">  </w:t>
      </w:r>
    </w:p>
    <w:p w14:paraId="20B11B98" w14:textId="4664C63A" w:rsidR="000C2D82" w:rsidRPr="001A1F53" w:rsidRDefault="000C2D82" w:rsidP="00DB7407">
      <w:pPr>
        <w:spacing w:after="0" w:line="240" w:lineRule="auto"/>
        <w:ind w:left="3600" w:hanging="3600"/>
        <w:rPr>
          <w:rFonts w:ascii="Arial" w:hAnsi="Arial" w:cs="Arial"/>
        </w:rPr>
      </w:pPr>
      <w:r w:rsidRPr="001A1F53">
        <w:rPr>
          <w:rFonts w:ascii="Arial" w:hAnsi="Arial" w:cs="Arial"/>
          <w:b/>
        </w:rPr>
        <w:t xml:space="preserve">Curricular Consideration: </w:t>
      </w:r>
      <w:r w:rsidR="00DB7407">
        <w:rPr>
          <w:rFonts w:ascii="Arial" w:hAnsi="Arial" w:cs="Arial"/>
          <w:b/>
        </w:rPr>
        <w:tab/>
      </w:r>
      <w:r w:rsidRPr="001A1F53">
        <w:rPr>
          <w:rFonts w:ascii="Arial" w:hAnsi="Arial" w:cs="Arial"/>
        </w:rPr>
        <w:t xml:space="preserve">Internal and external standards, regulations, and initiatives; Health Insurance Portability and Accountability Act (HIPAA), The Joint Commission, Quality Integrity Organizations (QUIs), Meaningful Use (MU), risk management, &amp; patient safety. </w:t>
      </w:r>
    </w:p>
    <w:p w14:paraId="5CB2A49D" w14:textId="77777777" w:rsidR="0023391A" w:rsidRPr="001A1F53" w:rsidRDefault="0023391A" w:rsidP="00272EFA">
      <w:pPr>
        <w:spacing w:after="0" w:line="240" w:lineRule="auto"/>
        <w:rPr>
          <w:rFonts w:ascii="Arial" w:hAnsi="Arial" w:cs="Arial"/>
        </w:rPr>
      </w:pPr>
    </w:p>
    <w:p w14:paraId="4C620056" w14:textId="7CDCA6A7" w:rsidR="0023391A" w:rsidRPr="001A1F53" w:rsidRDefault="0023391A" w:rsidP="00272EFA">
      <w:pPr>
        <w:spacing w:after="0"/>
        <w:outlineLvl w:val="0"/>
        <w:rPr>
          <w:rFonts w:ascii="Arial" w:hAnsi="Arial" w:cs="Arial"/>
          <w:b/>
        </w:rPr>
      </w:pPr>
      <w:r w:rsidRPr="001A1F53">
        <w:rPr>
          <w:rFonts w:ascii="Arial" w:hAnsi="Arial" w:cs="Arial"/>
          <w:b/>
        </w:rPr>
        <w:t>Domain</w:t>
      </w:r>
      <w:r w:rsidR="00630133">
        <w:rPr>
          <w:rFonts w:ascii="Arial" w:hAnsi="Arial" w:cs="Arial"/>
          <w:b/>
        </w:rPr>
        <w:t xml:space="preserve"> </w:t>
      </w:r>
      <w:r w:rsidR="00443A55" w:rsidRPr="001A1F53">
        <w:rPr>
          <w:rFonts w:ascii="Arial" w:hAnsi="Arial" w:cs="Arial"/>
          <w:b/>
        </w:rPr>
        <w:t>V</w:t>
      </w:r>
      <w:r w:rsidR="00376298" w:rsidRPr="001A1F53">
        <w:rPr>
          <w:rFonts w:ascii="Arial" w:hAnsi="Arial" w:cs="Arial"/>
          <w:b/>
        </w:rPr>
        <w:t>I</w:t>
      </w:r>
      <w:r w:rsidR="00630133">
        <w:rPr>
          <w:rFonts w:ascii="Arial" w:hAnsi="Arial" w:cs="Arial"/>
          <w:b/>
        </w:rPr>
        <w:t>:</w:t>
      </w:r>
      <w:r w:rsidR="00630133">
        <w:rPr>
          <w:rFonts w:ascii="Arial" w:hAnsi="Arial" w:cs="Arial"/>
          <w:b/>
        </w:rPr>
        <w:tab/>
      </w:r>
      <w:r w:rsidR="00630133">
        <w:rPr>
          <w:rFonts w:ascii="Arial" w:hAnsi="Arial" w:cs="Arial"/>
          <w:b/>
        </w:rPr>
        <w:tab/>
      </w:r>
      <w:r w:rsidR="00630133">
        <w:rPr>
          <w:rFonts w:ascii="Arial" w:hAnsi="Arial" w:cs="Arial"/>
          <w:b/>
        </w:rPr>
        <w:tab/>
      </w:r>
      <w:r w:rsidR="00630133">
        <w:rPr>
          <w:rFonts w:ascii="Arial" w:hAnsi="Arial" w:cs="Arial"/>
          <w:b/>
        </w:rPr>
        <w:tab/>
      </w:r>
      <w:r w:rsidR="00443A55" w:rsidRPr="00630133">
        <w:rPr>
          <w:rFonts w:ascii="Arial" w:hAnsi="Arial" w:cs="Arial"/>
        </w:rPr>
        <w:t>Leadership</w:t>
      </w:r>
    </w:p>
    <w:p w14:paraId="1BBC7A06" w14:textId="656FE422" w:rsidR="00DE2DA9" w:rsidRPr="00630133" w:rsidRDefault="0023391A" w:rsidP="00272EFA">
      <w:pPr>
        <w:spacing w:after="0"/>
        <w:outlineLvl w:val="0"/>
        <w:rPr>
          <w:rFonts w:ascii="Arial" w:hAnsi="Arial" w:cs="Arial"/>
          <w:b/>
        </w:rPr>
      </w:pPr>
      <w:r w:rsidRPr="00630133">
        <w:rPr>
          <w:rFonts w:ascii="Arial" w:hAnsi="Arial" w:cs="Arial"/>
          <w:b/>
        </w:rPr>
        <w:t>Subdomain</w:t>
      </w:r>
      <w:r w:rsidR="00630133">
        <w:rPr>
          <w:rFonts w:ascii="Arial" w:hAnsi="Arial" w:cs="Arial"/>
          <w:b/>
        </w:rPr>
        <w:t xml:space="preserve"> </w:t>
      </w:r>
      <w:r w:rsidR="00443A55" w:rsidRPr="00630133">
        <w:rPr>
          <w:rFonts w:ascii="Arial" w:hAnsi="Arial" w:cs="Arial"/>
          <w:b/>
        </w:rPr>
        <w:t>VI.C</w:t>
      </w:r>
      <w:r w:rsidR="00630133">
        <w:rPr>
          <w:rFonts w:ascii="Arial" w:hAnsi="Arial" w:cs="Arial"/>
          <w:b/>
        </w:rPr>
        <w:t>.2:</w:t>
      </w:r>
      <w:r w:rsidR="00630133">
        <w:rPr>
          <w:rFonts w:ascii="Arial" w:hAnsi="Arial" w:cs="Arial"/>
          <w:b/>
        </w:rPr>
        <w:tab/>
      </w:r>
      <w:r w:rsidR="00630133">
        <w:rPr>
          <w:rFonts w:ascii="Arial" w:hAnsi="Arial" w:cs="Arial"/>
          <w:b/>
        </w:rPr>
        <w:tab/>
      </w:r>
      <w:r w:rsidR="00630133">
        <w:rPr>
          <w:rFonts w:ascii="Arial" w:hAnsi="Arial" w:cs="Arial"/>
          <w:b/>
        </w:rPr>
        <w:tab/>
      </w:r>
      <w:r w:rsidR="00443A55" w:rsidRPr="00630133">
        <w:rPr>
          <w:rFonts w:ascii="Arial" w:hAnsi="Arial" w:cs="Arial"/>
        </w:rPr>
        <w:t>Work Design and Process Improvement</w:t>
      </w:r>
    </w:p>
    <w:p w14:paraId="6ECD3F79" w14:textId="21FB9ABA" w:rsidR="000C2D82" w:rsidRPr="00630133" w:rsidRDefault="00630133" w:rsidP="00630133">
      <w:pPr>
        <w:spacing w:after="0"/>
        <w:ind w:left="3600" w:hanging="3600"/>
        <w:rPr>
          <w:rFonts w:ascii="Arial" w:hAnsi="Arial" w:cs="Arial"/>
          <w:b/>
        </w:rPr>
      </w:pPr>
      <w:r>
        <w:rPr>
          <w:rFonts w:ascii="Arial" w:hAnsi="Arial" w:cs="Arial"/>
          <w:b/>
        </w:rPr>
        <w:t>Competency</w:t>
      </w:r>
      <w:r w:rsidR="0023391A" w:rsidRPr="00630133">
        <w:rPr>
          <w:rFonts w:ascii="Arial" w:hAnsi="Arial" w:cs="Arial"/>
          <w:b/>
        </w:rPr>
        <w:t xml:space="preserve">:  </w:t>
      </w:r>
      <w:r>
        <w:rPr>
          <w:rFonts w:ascii="Arial" w:hAnsi="Arial" w:cs="Arial"/>
          <w:b/>
        </w:rPr>
        <w:tab/>
      </w:r>
      <w:r w:rsidR="000C2D82" w:rsidRPr="001A1F53">
        <w:rPr>
          <w:rFonts w:ascii="Arial" w:hAnsi="Arial" w:cs="Arial"/>
        </w:rPr>
        <w:t>Identify cost-saving and efficient means of achieving work processes and goals</w:t>
      </w:r>
      <w:r w:rsidR="0023391A" w:rsidRPr="001A1F53">
        <w:rPr>
          <w:rFonts w:ascii="Arial" w:hAnsi="Arial" w:cs="Arial"/>
        </w:rPr>
        <w:t xml:space="preserve"> </w:t>
      </w:r>
      <w:r w:rsidR="00272EFA" w:rsidRPr="001A1F53">
        <w:rPr>
          <w:rFonts w:ascii="Arial" w:hAnsi="Arial" w:cs="Arial"/>
        </w:rPr>
        <w:t>(</w:t>
      </w:r>
      <w:r w:rsidR="00443A55" w:rsidRPr="001A1F53">
        <w:rPr>
          <w:rFonts w:ascii="Arial" w:hAnsi="Arial" w:cs="Arial"/>
        </w:rPr>
        <w:t>BL3</w:t>
      </w:r>
      <w:r w:rsidR="00272EFA" w:rsidRPr="001A1F53">
        <w:rPr>
          <w:rFonts w:ascii="Arial" w:hAnsi="Arial" w:cs="Arial"/>
        </w:rPr>
        <w:t>)</w:t>
      </w:r>
    </w:p>
    <w:p w14:paraId="67F41107" w14:textId="0B471CDD" w:rsidR="0023391A" w:rsidRDefault="000C2D82" w:rsidP="00630133">
      <w:pPr>
        <w:spacing w:after="0"/>
        <w:ind w:left="3600" w:hanging="3600"/>
        <w:rPr>
          <w:rFonts w:ascii="Arial" w:hAnsi="Arial" w:cs="Arial"/>
        </w:rPr>
      </w:pPr>
      <w:r w:rsidRPr="001A1F53">
        <w:rPr>
          <w:rFonts w:ascii="Arial" w:hAnsi="Arial" w:cs="Arial"/>
          <w:b/>
        </w:rPr>
        <w:t xml:space="preserve">Curricular Consideration: </w:t>
      </w:r>
      <w:r w:rsidR="00630133">
        <w:rPr>
          <w:rFonts w:ascii="Arial" w:hAnsi="Arial" w:cs="Arial"/>
          <w:b/>
        </w:rPr>
        <w:tab/>
      </w:r>
      <w:r w:rsidRPr="001A1F53">
        <w:rPr>
          <w:rFonts w:ascii="Arial" w:hAnsi="Arial" w:cs="Arial"/>
        </w:rPr>
        <w:t xml:space="preserve">Incident response, medical reconciliation, and sentinel events. </w:t>
      </w:r>
      <w:r w:rsidR="0023391A" w:rsidRPr="001A1F53">
        <w:rPr>
          <w:rFonts w:ascii="Arial" w:hAnsi="Arial" w:cs="Arial"/>
        </w:rPr>
        <w:t xml:space="preserve"> </w:t>
      </w:r>
    </w:p>
    <w:p w14:paraId="22F10854" w14:textId="0F7C4225" w:rsidR="00630133" w:rsidRPr="00630133" w:rsidRDefault="00630133" w:rsidP="00630133">
      <w:pPr>
        <w:spacing w:after="0"/>
        <w:outlineLvl w:val="0"/>
        <w:rPr>
          <w:rFonts w:ascii="Arial" w:hAnsi="Arial" w:cs="Arial"/>
          <w:b/>
        </w:rPr>
      </w:pPr>
      <w:r w:rsidRPr="00630133">
        <w:rPr>
          <w:rFonts w:ascii="Arial" w:hAnsi="Arial" w:cs="Arial"/>
          <w:b/>
        </w:rPr>
        <w:t>Subdomain</w:t>
      </w:r>
      <w:r>
        <w:rPr>
          <w:rFonts w:ascii="Arial" w:hAnsi="Arial" w:cs="Arial"/>
          <w:b/>
        </w:rPr>
        <w:t xml:space="preserve"> </w:t>
      </w:r>
      <w:r w:rsidRPr="00630133">
        <w:rPr>
          <w:rFonts w:ascii="Arial" w:hAnsi="Arial" w:cs="Arial"/>
          <w:b/>
        </w:rPr>
        <w:t>VI.C</w:t>
      </w:r>
      <w:r>
        <w:rPr>
          <w:rFonts w:ascii="Arial" w:hAnsi="Arial" w:cs="Arial"/>
          <w:b/>
        </w:rPr>
        <w:t>.3:</w:t>
      </w:r>
      <w:r>
        <w:rPr>
          <w:rFonts w:ascii="Arial" w:hAnsi="Arial" w:cs="Arial"/>
          <w:b/>
        </w:rPr>
        <w:tab/>
      </w:r>
      <w:r>
        <w:rPr>
          <w:rFonts w:ascii="Arial" w:hAnsi="Arial" w:cs="Arial"/>
          <w:b/>
        </w:rPr>
        <w:tab/>
      </w:r>
      <w:r>
        <w:rPr>
          <w:rFonts w:ascii="Arial" w:hAnsi="Arial" w:cs="Arial"/>
          <w:b/>
        </w:rPr>
        <w:tab/>
      </w:r>
      <w:r w:rsidRPr="00630133">
        <w:rPr>
          <w:rFonts w:ascii="Arial" w:hAnsi="Arial" w:cs="Arial"/>
        </w:rPr>
        <w:t>Work Design and Process Improvement</w:t>
      </w:r>
    </w:p>
    <w:p w14:paraId="56B69A98" w14:textId="3AC5284A" w:rsidR="00630133" w:rsidRPr="00A538D0" w:rsidRDefault="00630133" w:rsidP="00A538D0">
      <w:pPr>
        <w:overflowPunct w:val="0"/>
        <w:autoSpaceDE w:val="0"/>
        <w:autoSpaceDN w:val="0"/>
        <w:adjustRightInd w:val="0"/>
        <w:spacing w:after="0" w:line="240" w:lineRule="auto"/>
        <w:ind w:left="3600" w:hanging="3600"/>
        <w:textAlignment w:val="baseline"/>
        <w:rPr>
          <w:rFonts w:ascii="Arial" w:hAnsi="Arial" w:cs="Arial"/>
        </w:rPr>
      </w:pPr>
      <w:r>
        <w:rPr>
          <w:rFonts w:ascii="Arial" w:hAnsi="Arial" w:cs="Arial"/>
          <w:b/>
        </w:rPr>
        <w:t>Competency</w:t>
      </w:r>
      <w:r w:rsidRPr="00630133">
        <w:rPr>
          <w:rFonts w:ascii="Arial" w:hAnsi="Arial" w:cs="Arial"/>
          <w:b/>
        </w:rPr>
        <w:t xml:space="preserve">:  </w:t>
      </w:r>
      <w:r>
        <w:rPr>
          <w:rFonts w:ascii="Arial" w:hAnsi="Arial" w:cs="Arial"/>
          <w:b/>
        </w:rPr>
        <w:tab/>
      </w:r>
      <w:r w:rsidR="00A538D0" w:rsidRPr="001A1F53">
        <w:rPr>
          <w:rFonts w:ascii="Arial" w:hAnsi="Arial" w:cs="Arial"/>
        </w:rPr>
        <w:t>Utilize data for facility – wide outcomes reporting for quality management and performance improvement (BL3)</w:t>
      </w:r>
    </w:p>
    <w:p w14:paraId="09865A25" w14:textId="54111E5F" w:rsidR="000C2D82" w:rsidRPr="001A1F53" w:rsidRDefault="00630133" w:rsidP="00A538D0">
      <w:pPr>
        <w:spacing w:after="0"/>
        <w:ind w:left="3600" w:hanging="3600"/>
        <w:rPr>
          <w:rFonts w:ascii="Arial" w:hAnsi="Arial" w:cs="Arial"/>
        </w:rPr>
      </w:pPr>
      <w:r w:rsidRPr="001A1F53">
        <w:rPr>
          <w:rFonts w:ascii="Arial" w:hAnsi="Arial" w:cs="Arial"/>
          <w:b/>
        </w:rPr>
        <w:t xml:space="preserve">Curricular Consideration: </w:t>
      </w:r>
      <w:r>
        <w:rPr>
          <w:rFonts w:ascii="Arial" w:hAnsi="Arial" w:cs="Arial"/>
          <w:b/>
        </w:rPr>
        <w:tab/>
      </w:r>
      <w:r w:rsidRPr="001A1F53">
        <w:rPr>
          <w:rFonts w:ascii="Arial" w:hAnsi="Arial" w:cs="Arial"/>
        </w:rPr>
        <w:t xml:space="preserve"> </w:t>
      </w:r>
      <w:r w:rsidR="000C2D82" w:rsidRPr="001A1F53">
        <w:rPr>
          <w:rFonts w:ascii="Arial" w:hAnsi="Arial" w:cs="Arial"/>
        </w:rPr>
        <w:t>Data for outcomes reporting; Continuous Quality Improvement (CQI).</w:t>
      </w:r>
    </w:p>
    <w:p w14:paraId="76FB9B2A" w14:textId="77777777" w:rsidR="009E3BD5" w:rsidRPr="001A1F53" w:rsidRDefault="009E3BD5" w:rsidP="00272EFA">
      <w:pPr>
        <w:overflowPunct w:val="0"/>
        <w:autoSpaceDE w:val="0"/>
        <w:autoSpaceDN w:val="0"/>
        <w:adjustRightInd w:val="0"/>
        <w:spacing w:after="0" w:line="240" w:lineRule="auto"/>
        <w:textAlignment w:val="baseline"/>
        <w:rPr>
          <w:rFonts w:ascii="Arial" w:hAnsi="Arial" w:cs="Arial"/>
        </w:rPr>
      </w:pPr>
    </w:p>
    <w:p w14:paraId="193A8D2A" w14:textId="77777777" w:rsidR="009E3BD5" w:rsidRPr="001A1F53" w:rsidRDefault="009E3BD5" w:rsidP="009E3BD5">
      <w:pPr>
        <w:overflowPunct w:val="0"/>
        <w:autoSpaceDE w:val="0"/>
        <w:autoSpaceDN w:val="0"/>
        <w:adjustRightInd w:val="0"/>
        <w:spacing w:after="0" w:line="240" w:lineRule="auto"/>
        <w:textAlignment w:val="baseline"/>
        <w:rPr>
          <w:rFonts w:ascii="Arial" w:hAnsi="Arial" w:cs="Arial"/>
          <w:b/>
        </w:rPr>
      </w:pPr>
      <w:r w:rsidRPr="001A1F53">
        <w:rPr>
          <w:rFonts w:ascii="Arial" w:hAnsi="Arial" w:cs="Arial"/>
          <w:b/>
        </w:rPr>
        <w:t>Objectives:</w:t>
      </w:r>
    </w:p>
    <w:p w14:paraId="7F1AAE08" w14:textId="57CD989F" w:rsidR="009E3BD5" w:rsidRPr="001A1F53" w:rsidRDefault="009E3BD5" w:rsidP="009E3BD5">
      <w:pPr>
        <w:pStyle w:val="ListParagraph"/>
        <w:numPr>
          <w:ilvl w:val="0"/>
          <w:numId w:val="19"/>
        </w:numPr>
        <w:spacing w:after="0" w:line="240" w:lineRule="auto"/>
        <w:rPr>
          <w:rFonts w:ascii="Arial" w:eastAsia="Arial" w:hAnsi="Arial" w:cs="Arial"/>
        </w:rPr>
      </w:pPr>
      <w:r w:rsidRPr="001A1F53">
        <w:rPr>
          <w:rFonts w:ascii="Arial" w:eastAsia="Arial" w:hAnsi="Arial" w:cs="Arial"/>
        </w:rPr>
        <w:t>Identify policies and procedures that ensure compliance with data quality and integrity in the process of quality asses</w:t>
      </w:r>
      <w:r w:rsidR="009612D3">
        <w:rPr>
          <w:rFonts w:ascii="Arial" w:eastAsia="Arial" w:hAnsi="Arial" w:cs="Arial"/>
        </w:rPr>
        <w:t>sment and improvement (III.H.1- BL3</w:t>
      </w:r>
      <w:r w:rsidRPr="001A1F53">
        <w:rPr>
          <w:rFonts w:ascii="Arial" w:eastAsia="Arial" w:hAnsi="Arial" w:cs="Arial"/>
        </w:rPr>
        <w:t xml:space="preserve">) </w:t>
      </w:r>
    </w:p>
    <w:p w14:paraId="1C616286" w14:textId="0AF9F46C" w:rsidR="00376298" w:rsidRPr="001A1F53" w:rsidRDefault="00376298" w:rsidP="00376298">
      <w:pPr>
        <w:pStyle w:val="ListParagraph"/>
        <w:numPr>
          <w:ilvl w:val="0"/>
          <w:numId w:val="19"/>
        </w:numPr>
        <w:spacing w:after="0" w:line="240" w:lineRule="auto"/>
        <w:rPr>
          <w:rFonts w:ascii="Arial" w:eastAsia="Arial" w:hAnsi="Arial" w:cs="Arial"/>
        </w:rPr>
      </w:pPr>
      <w:r w:rsidRPr="001A1F53">
        <w:rPr>
          <w:rFonts w:ascii="Arial" w:eastAsia="Arial" w:hAnsi="Arial" w:cs="Arial"/>
        </w:rPr>
        <w:t>Examine organizational compliance with regulatory standards as it relates to the Joint Commission and p</w:t>
      </w:r>
      <w:r w:rsidR="009612D3">
        <w:rPr>
          <w:rFonts w:ascii="Arial" w:eastAsia="Arial" w:hAnsi="Arial" w:cs="Arial"/>
        </w:rPr>
        <w:t>atient safety standards (V.A.1- BL4</w:t>
      </w:r>
      <w:r w:rsidRPr="001A1F53">
        <w:rPr>
          <w:rFonts w:ascii="Arial" w:eastAsia="Arial" w:hAnsi="Arial" w:cs="Arial"/>
        </w:rPr>
        <w:t xml:space="preserve">) </w:t>
      </w:r>
    </w:p>
    <w:p w14:paraId="5F0D6467" w14:textId="72855B0D" w:rsidR="00376298" w:rsidRPr="001A1F53" w:rsidRDefault="00376298" w:rsidP="00376298">
      <w:pPr>
        <w:pStyle w:val="ListParagraph"/>
        <w:numPr>
          <w:ilvl w:val="0"/>
          <w:numId w:val="19"/>
        </w:numPr>
        <w:spacing w:after="0" w:line="240" w:lineRule="auto"/>
        <w:rPr>
          <w:rFonts w:ascii="Arial" w:eastAsia="Arial" w:hAnsi="Arial" w:cs="Arial"/>
        </w:rPr>
      </w:pPr>
      <w:r w:rsidRPr="001A1F53">
        <w:rPr>
          <w:rFonts w:ascii="Arial" w:eastAsia="Arial" w:hAnsi="Arial" w:cs="Arial"/>
        </w:rPr>
        <w:t>Analyze different methods of compliance with Quality Im</w:t>
      </w:r>
      <w:r w:rsidR="009612D3">
        <w:rPr>
          <w:rFonts w:ascii="Arial" w:eastAsia="Arial" w:hAnsi="Arial" w:cs="Arial"/>
        </w:rPr>
        <w:t>provement Organizations (V.A.1- P</w:t>
      </w:r>
      <w:r w:rsidRPr="001A1F53">
        <w:rPr>
          <w:rFonts w:ascii="Arial" w:eastAsia="Arial" w:hAnsi="Arial" w:cs="Arial"/>
        </w:rPr>
        <w:t xml:space="preserve">) </w:t>
      </w:r>
    </w:p>
    <w:p w14:paraId="0C010B3C" w14:textId="0BE56897" w:rsidR="00376298" w:rsidRPr="001A1F53" w:rsidRDefault="009612D3" w:rsidP="00376298">
      <w:pPr>
        <w:pStyle w:val="ListParagraph"/>
        <w:numPr>
          <w:ilvl w:val="0"/>
          <w:numId w:val="19"/>
        </w:numPr>
        <w:spacing w:after="0" w:line="240" w:lineRule="auto"/>
        <w:rPr>
          <w:rFonts w:ascii="Arial" w:eastAsia="Arial" w:hAnsi="Arial" w:cs="Arial"/>
        </w:rPr>
      </w:pPr>
      <w:r>
        <w:rPr>
          <w:rFonts w:ascii="Arial" w:eastAsia="Arial" w:hAnsi="Arial" w:cs="Arial"/>
        </w:rPr>
        <w:t>Identify</w:t>
      </w:r>
      <w:r w:rsidR="00376298" w:rsidRPr="001A1F53">
        <w:rPr>
          <w:rFonts w:ascii="Arial" w:eastAsia="Arial" w:hAnsi="Arial" w:cs="Arial"/>
        </w:rPr>
        <w:t xml:space="preserve"> performance improvement tools used in</w:t>
      </w:r>
      <w:r>
        <w:rPr>
          <w:rFonts w:ascii="Arial" w:eastAsia="Arial" w:hAnsi="Arial" w:cs="Arial"/>
        </w:rPr>
        <w:t xml:space="preserve"> healthcare to monitor patient</w:t>
      </w:r>
      <w:r w:rsidR="00376298" w:rsidRPr="001A1F53">
        <w:rPr>
          <w:rFonts w:ascii="Arial" w:eastAsia="Arial" w:hAnsi="Arial" w:cs="Arial"/>
        </w:rPr>
        <w:t xml:space="preserve"> </w:t>
      </w:r>
      <w:r>
        <w:rPr>
          <w:rFonts w:ascii="Arial" w:eastAsia="Arial" w:hAnsi="Arial" w:cs="Arial"/>
        </w:rPr>
        <w:t>performance (VI.C.1- BL3</w:t>
      </w:r>
      <w:r w:rsidR="00376298" w:rsidRPr="001A1F53">
        <w:rPr>
          <w:rFonts w:ascii="Arial" w:eastAsia="Arial" w:hAnsi="Arial" w:cs="Arial"/>
        </w:rPr>
        <w:t xml:space="preserve">) </w:t>
      </w:r>
    </w:p>
    <w:p w14:paraId="53122D84" w14:textId="0344EF6F" w:rsidR="00376298" w:rsidRPr="001A1F53" w:rsidRDefault="00376298" w:rsidP="00376298">
      <w:pPr>
        <w:pStyle w:val="ListParagraph"/>
        <w:numPr>
          <w:ilvl w:val="0"/>
          <w:numId w:val="19"/>
        </w:numPr>
        <w:spacing w:after="0" w:line="240" w:lineRule="auto"/>
        <w:rPr>
          <w:rFonts w:ascii="Arial" w:eastAsia="Arial" w:hAnsi="Arial" w:cs="Arial"/>
        </w:rPr>
      </w:pPr>
      <w:r w:rsidRPr="001A1F53">
        <w:rPr>
          <w:rFonts w:ascii="Arial" w:eastAsia="Arial" w:hAnsi="Arial" w:cs="Arial"/>
        </w:rPr>
        <w:t>Utilize data for decision making in the process of p</w:t>
      </w:r>
      <w:r w:rsidR="009612D3">
        <w:rPr>
          <w:rFonts w:ascii="Arial" w:eastAsia="Arial" w:hAnsi="Arial" w:cs="Arial"/>
        </w:rPr>
        <w:t>erformance improvement (VI.C.3- BL3</w:t>
      </w:r>
      <w:r w:rsidRPr="001A1F53">
        <w:rPr>
          <w:rFonts w:ascii="Arial" w:eastAsia="Arial" w:hAnsi="Arial" w:cs="Arial"/>
        </w:rPr>
        <w:t xml:space="preserve">) </w:t>
      </w:r>
    </w:p>
    <w:p w14:paraId="7E9B7B8D" w14:textId="77777777" w:rsidR="009E3BD5" w:rsidRPr="001A1F53" w:rsidRDefault="009E3BD5" w:rsidP="009E3BD5">
      <w:pPr>
        <w:overflowPunct w:val="0"/>
        <w:autoSpaceDE w:val="0"/>
        <w:autoSpaceDN w:val="0"/>
        <w:adjustRightInd w:val="0"/>
        <w:spacing w:after="0" w:line="240" w:lineRule="auto"/>
        <w:textAlignment w:val="baseline"/>
        <w:rPr>
          <w:rFonts w:ascii="Arial" w:hAnsi="Arial" w:cs="Arial"/>
          <w:b/>
        </w:rPr>
      </w:pPr>
    </w:p>
    <w:p w14:paraId="3E4BDB71" w14:textId="08270598" w:rsidR="00133EF1" w:rsidRPr="001A1F53" w:rsidRDefault="00242292" w:rsidP="009E3BD5">
      <w:pPr>
        <w:overflowPunct w:val="0"/>
        <w:autoSpaceDE w:val="0"/>
        <w:autoSpaceDN w:val="0"/>
        <w:adjustRightInd w:val="0"/>
        <w:spacing w:after="0" w:line="240" w:lineRule="auto"/>
        <w:textAlignment w:val="baseline"/>
        <w:rPr>
          <w:rFonts w:ascii="Arial" w:hAnsi="Arial" w:cs="Arial"/>
          <w:b/>
        </w:rPr>
      </w:pPr>
      <w:r>
        <w:rPr>
          <w:rFonts w:ascii="Arial" w:hAnsi="Arial" w:cs="Arial"/>
          <w:b/>
          <w:u w:val="single"/>
        </w:rPr>
        <w:t>TASKS</w:t>
      </w:r>
      <w:r w:rsidR="0023391A" w:rsidRPr="001A1F53">
        <w:rPr>
          <w:rFonts w:ascii="Arial" w:hAnsi="Arial" w:cs="Arial"/>
          <w:b/>
          <w:smallCaps/>
        </w:rPr>
        <w:t>:</w:t>
      </w:r>
    </w:p>
    <w:p w14:paraId="328DAD6A" w14:textId="0231D369" w:rsidR="001C5154" w:rsidRPr="00242292" w:rsidRDefault="00642F21" w:rsidP="00272EFA">
      <w:pPr>
        <w:spacing w:after="0"/>
        <w:rPr>
          <w:rFonts w:ascii="Arial" w:hAnsi="Arial" w:cs="Arial"/>
        </w:rPr>
      </w:pPr>
      <w:r w:rsidRPr="001A1F53">
        <w:rPr>
          <w:rFonts w:ascii="Arial" w:hAnsi="Arial" w:cs="Arial"/>
        </w:rPr>
        <w:t>You are the Quality Assurance/Quality Improvement Director for Plaza Medical Center.   As a member</w:t>
      </w:r>
      <w:r w:rsidR="00242292">
        <w:rPr>
          <w:rFonts w:ascii="Arial" w:hAnsi="Arial" w:cs="Arial"/>
        </w:rPr>
        <w:t xml:space="preserve"> of the QA/QI Committee, you</w:t>
      </w:r>
      <w:r w:rsidRPr="001A1F53">
        <w:rPr>
          <w:rFonts w:ascii="Arial" w:hAnsi="Arial" w:cs="Arial"/>
        </w:rPr>
        <w:t xml:space="preserve"> have been asked to analyze and reco</w:t>
      </w:r>
      <w:r w:rsidR="00242292">
        <w:rPr>
          <w:rFonts w:ascii="Arial" w:hAnsi="Arial" w:cs="Arial"/>
        </w:rPr>
        <w:t>mmend improvements to the Sentinel Event Policy</w:t>
      </w:r>
      <w:r w:rsidRPr="001A1F53">
        <w:rPr>
          <w:rFonts w:ascii="Arial" w:hAnsi="Arial" w:cs="Arial"/>
        </w:rPr>
        <w:t>, review the Root Cause Analyses and Actions (RCA2)</w:t>
      </w:r>
      <w:r w:rsidR="00242292">
        <w:rPr>
          <w:rFonts w:ascii="Arial" w:hAnsi="Arial" w:cs="Arial"/>
        </w:rPr>
        <w:t xml:space="preserve"> process for its effectiveness, d</w:t>
      </w:r>
      <w:r w:rsidRPr="001A1F53">
        <w:rPr>
          <w:rFonts w:ascii="Arial" w:hAnsi="Arial" w:cs="Arial"/>
        </w:rPr>
        <w:t xml:space="preserve">iscuss use of </w:t>
      </w:r>
      <w:r w:rsidR="00242292">
        <w:rPr>
          <w:rFonts w:ascii="Arial" w:hAnsi="Arial" w:cs="Arial"/>
        </w:rPr>
        <w:t xml:space="preserve">the </w:t>
      </w:r>
      <w:r w:rsidRPr="001A1F53">
        <w:rPr>
          <w:rFonts w:ascii="Arial" w:hAnsi="Arial" w:cs="Arial"/>
        </w:rPr>
        <w:t>Cause and Effect Diagram (AKA Fishbone diagram) tool which provides leadership a way to explore all the potential factors that may be causing or contributing to a particular problem (effect).</w:t>
      </w:r>
      <w:r w:rsidR="00EF38FB" w:rsidRPr="001A1F53">
        <w:rPr>
          <w:rFonts w:ascii="Arial" w:hAnsi="Arial" w:cs="Arial"/>
        </w:rPr>
        <w:t xml:space="preserve"> In addition</w:t>
      </w:r>
      <w:r w:rsidR="00242292">
        <w:rPr>
          <w:rFonts w:ascii="Arial" w:hAnsi="Arial" w:cs="Arial"/>
        </w:rPr>
        <w:t>,</w:t>
      </w:r>
      <w:r w:rsidR="00EF38FB" w:rsidRPr="001A1F53">
        <w:rPr>
          <w:rFonts w:ascii="Arial" w:hAnsi="Arial" w:cs="Arial"/>
        </w:rPr>
        <w:t xml:space="preserve"> analyze sentinel event data provided by </w:t>
      </w:r>
      <w:r w:rsidR="00242292">
        <w:rPr>
          <w:rFonts w:ascii="Arial" w:hAnsi="Arial" w:cs="Arial"/>
        </w:rPr>
        <w:t xml:space="preserve">the </w:t>
      </w:r>
      <w:r w:rsidR="00EF38FB" w:rsidRPr="001A1F53">
        <w:rPr>
          <w:rFonts w:ascii="Arial" w:hAnsi="Arial" w:cs="Arial"/>
        </w:rPr>
        <w:t xml:space="preserve">Joint </w:t>
      </w:r>
      <w:r w:rsidR="00995B1D" w:rsidRPr="001A1F53">
        <w:rPr>
          <w:rFonts w:ascii="Arial" w:hAnsi="Arial" w:cs="Arial"/>
        </w:rPr>
        <w:t>C</w:t>
      </w:r>
      <w:r w:rsidR="00EF38FB" w:rsidRPr="001A1F53">
        <w:rPr>
          <w:rFonts w:ascii="Arial" w:hAnsi="Arial" w:cs="Arial"/>
        </w:rPr>
        <w:t>ommissio</w:t>
      </w:r>
      <w:r w:rsidR="00242292">
        <w:rPr>
          <w:rFonts w:ascii="Arial" w:hAnsi="Arial" w:cs="Arial"/>
        </w:rPr>
        <w:t>n to identify trend and problem</w:t>
      </w:r>
      <w:r w:rsidR="00EF38FB" w:rsidRPr="001A1F53">
        <w:rPr>
          <w:rFonts w:ascii="Arial" w:hAnsi="Arial" w:cs="Arial"/>
        </w:rPr>
        <w:t xml:space="preserve"> area</w:t>
      </w:r>
      <w:r w:rsidR="00242292">
        <w:rPr>
          <w:rFonts w:ascii="Arial" w:hAnsi="Arial" w:cs="Arial"/>
        </w:rPr>
        <w:t>s</w:t>
      </w:r>
      <w:r w:rsidR="00995B1D" w:rsidRPr="001A1F53">
        <w:rPr>
          <w:rFonts w:ascii="Arial" w:hAnsi="Arial" w:cs="Arial"/>
        </w:rPr>
        <w:t xml:space="preserve"> to develop strategies or initiatives to address these areas (e.g., education campaign, policy and procedure changes). </w:t>
      </w:r>
    </w:p>
    <w:p w14:paraId="2C695FD7" w14:textId="2A2D5D8A" w:rsidR="00594FB2" w:rsidRPr="001A1F53" w:rsidRDefault="00242292" w:rsidP="00594FB2">
      <w:pPr>
        <w:numPr>
          <w:ilvl w:val="0"/>
          <w:numId w:val="2"/>
        </w:numPr>
        <w:spacing w:after="0"/>
        <w:rPr>
          <w:rFonts w:ascii="Arial" w:hAnsi="Arial" w:cs="Arial"/>
        </w:rPr>
      </w:pPr>
      <w:r>
        <w:rPr>
          <w:rFonts w:ascii="Arial" w:hAnsi="Arial" w:cs="Arial"/>
        </w:rPr>
        <w:t>Analyze Sentinel</w:t>
      </w:r>
      <w:r w:rsidR="00594FB2" w:rsidRPr="001A1F53">
        <w:rPr>
          <w:rFonts w:ascii="Arial" w:hAnsi="Arial" w:cs="Arial"/>
        </w:rPr>
        <w:t xml:space="preserve"> Event policy </w:t>
      </w:r>
      <w:r w:rsidR="000164A5" w:rsidRPr="001A1F53">
        <w:rPr>
          <w:rFonts w:ascii="Arial" w:hAnsi="Arial" w:cs="Arial"/>
        </w:rPr>
        <w:t xml:space="preserve">provided </w:t>
      </w:r>
      <w:r w:rsidR="00594FB2" w:rsidRPr="001A1F53">
        <w:rPr>
          <w:rFonts w:ascii="Arial" w:hAnsi="Arial" w:cs="Arial"/>
        </w:rPr>
        <w:t>and recommend i</w:t>
      </w:r>
      <w:r w:rsidR="000164A5" w:rsidRPr="001A1F53">
        <w:rPr>
          <w:rFonts w:ascii="Arial" w:hAnsi="Arial" w:cs="Arial"/>
        </w:rPr>
        <w:t xml:space="preserve">mprovements to </w:t>
      </w:r>
      <w:r w:rsidR="00594FB2" w:rsidRPr="001A1F53">
        <w:rPr>
          <w:rFonts w:ascii="Arial" w:hAnsi="Arial" w:cs="Arial"/>
        </w:rPr>
        <w:t>Policy</w:t>
      </w:r>
    </w:p>
    <w:p w14:paraId="618E8EE0" w14:textId="40C55B07" w:rsidR="00594FB2" w:rsidRPr="001A1F53" w:rsidRDefault="00594FB2" w:rsidP="00594FB2">
      <w:pPr>
        <w:numPr>
          <w:ilvl w:val="1"/>
          <w:numId w:val="2"/>
        </w:numPr>
        <w:spacing w:after="0"/>
        <w:rPr>
          <w:rFonts w:ascii="Arial" w:hAnsi="Arial" w:cs="Arial"/>
        </w:rPr>
      </w:pPr>
      <w:r w:rsidRPr="001A1F53">
        <w:rPr>
          <w:rFonts w:ascii="Arial" w:hAnsi="Arial" w:cs="Arial"/>
        </w:rPr>
        <w:t>Resear</w:t>
      </w:r>
      <w:r w:rsidR="00242292">
        <w:rPr>
          <w:rFonts w:ascii="Arial" w:hAnsi="Arial" w:cs="Arial"/>
        </w:rPr>
        <w:t>ch at least two other sentinel event policies</w:t>
      </w:r>
      <w:r w:rsidRPr="001A1F53">
        <w:rPr>
          <w:rFonts w:ascii="Arial" w:hAnsi="Arial" w:cs="Arial"/>
        </w:rPr>
        <w:t xml:space="preserve"> for comparison.</w:t>
      </w:r>
    </w:p>
    <w:p w14:paraId="350C0410" w14:textId="77777777" w:rsidR="00594FB2" w:rsidRPr="001A1F53" w:rsidRDefault="00594FB2" w:rsidP="00594FB2">
      <w:pPr>
        <w:numPr>
          <w:ilvl w:val="1"/>
          <w:numId w:val="2"/>
        </w:numPr>
        <w:spacing w:after="0"/>
        <w:rPr>
          <w:rFonts w:ascii="Arial" w:hAnsi="Arial" w:cs="Arial"/>
        </w:rPr>
      </w:pPr>
      <w:r w:rsidRPr="001A1F53">
        <w:rPr>
          <w:rFonts w:ascii="Arial" w:hAnsi="Arial" w:cs="Arial"/>
        </w:rPr>
        <w:t>Discuss importance of timely response to a sentinel event.</w:t>
      </w:r>
    </w:p>
    <w:p w14:paraId="2904A7BD" w14:textId="77777777" w:rsidR="00594FB2" w:rsidRPr="001A1F53" w:rsidRDefault="00594FB2" w:rsidP="00594FB2">
      <w:pPr>
        <w:numPr>
          <w:ilvl w:val="1"/>
          <w:numId w:val="2"/>
        </w:numPr>
        <w:spacing w:after="0"/>
        <w:rPr>
          <w:rFonts w:ascii="Arial" w:hAnsi="Arial" w:cs="Arial"/>
        </w:rPr>
      </w:pPr>
      <w:r w:rsidRPr="001A1F53">
        <w:rPr>
          <w:rFonts w:ascii="Arial" w:hAnsi="Arial" w:cs="Arial"/>
        </w:rPr>
        <w:t>Review the Root Cause Analyses and Actions (RCA2) process.</w:t>
      </w:r>
    </w:p>
    <w:p w14:paraId="6AC68751" w14:textId="07371026" w:rsidR="00EA4096" w:rsidRPr="001A1F53" w:rsidRDefault="00594FB2" w:rsidP="00EA4096">
      <w:pPr>
        <w:numPr>
          <w:ilvl w:val="1"/>
          <w:numId w:val="2"/>
        </w:numPr>
        <w:spacing w:after="0"/>
        <w:rPr>
          <w:rFonts w:ascii="Arial" w:hAnsi="Arial" w:cs="Arial"/>
        </w:rPr>
      </w:pPr>
      <w:r w:rsidRPr="001A1F53">
        <w:rPr>
          <w:rFonts w:ascii="Arial" w:hAnsi="Arial" w:cs="Arial"/>
        </w:rPr>
        <w:t>Discuss use of Cause and Effect Diagram (AKA Fishbone diagram) tool.</w:t>
      </w:r>
    </w:p>
    <w:p w14:paraId="3A8E7BFB" w14:textId="48AF01C1" w:rsidR="00EA4096" w:rsidRPr="001A1F53" w:rsidRDefault="00995B1D" w:rsidP="00995B1D">
      <w:pPr>
        <w:numPr>
          <w:ilvl w:val="1"/>
          <w:numId w:val="2"/>
        </w:numPr>
        <w:spacing w:after="0"/>
        <w:rPr>
          <w:rFonts w:ascii="Arial" w:hAnsi="Arial" w:cs="Arial"/>
        </w:rPr>
      </w:pPr>
      <w:r w:rsidRPr="001A1F53">
        <w:rPr>
          <w:rFonts w:ascii="Arial" w:hAnsi="Arial" w:cs="Arial"/>
        </w:rPr>
        <w:t xml:space="preserve">Locate and analyze sentinel event data published by Joint Commission and recommend quality improvement activities. </w:t>
      </w:r>
    </w:p>
    <w:p w14:paraId="46E134AF" w14:textId="1A1DA136" w:rsidR="00995B1D" w:rsidRPr="001A1F53" w:rsidRDefault="00995B1D" w:rsidP="00995B1D">
      <w:pPr>
        <w:numPr>
          <w:ilvl w:val="2"/>
          <w:numId w:val="2"/>
        </w:numPr>
        <w:spacing w:after="0"/>
        <w:rPr>
          <w:rFonts w:ascii="Arial" w:hAnsi="Arial" w:cs="Arial"/>
        </w:rPr>
      </w:pPr>
      <w:r w:rsidRPr="001A1F53">
        <w:rPr>
          <w:rFonts w:ascii="Arial" w:hAnsi="Arial" w:cs="Arial"/>
        </w:rPr>
        <w:t>Hint: https://www.jointcommission.org/sentinel_event.aspx</w:t>
      </w:r>
    </w:p>
    <w:p w14:paraId="52052161" w14:textId="77777777" w:rsidR="00594FB2" w:rsidRPr="001A1F53" w:rsidRDefault="00594FB2" w:rsidP="00594FB2">
      <w:pPr>
        <w:spacing w:after="0"/>
        <w:ind w:left="1440"/>
        <w:rPr>
          <w:rFonts w:ascii="Arial" w:hAnsi="Arial" w:cs="Arial"/>
        </w:rPr>
      </w:pPr>
    </w:p>
    <w:p w14:paraId="29DE65A0" w14:textId="74471892" w:rsidR="00594FB2" w:rsidRPr="001A1F53" w:rsidRDefault="00594FB2" w:rsidP="00594FB2">
      <w:pPr>
        <w:numPr>
          <w:ilvl w:val="0"/>
          <w:numId w:val="2"/>
        </w:numPr>
        <w:spacing w:after="0"/>
        <w:rPr>
          <w:rFonts w:ascii="Arial" w:hAnsi="Arial" w:cs="Arial"/>
        </w:rPr>
      </w:pPr>
      <w:r w:rsidRPr="001A1F53">
        <w:rPr>
          <w:rFonts w:ascii="Arial" w:hAnsi="Arial" w:cs="Arial"/>
        </w:rPr>
        <w:t>Using Microsoft Word, compose a detailed two page</w:t>
      </w:r>
      <w:r w:rsidR="00242292">
        <w:rPr>
          <w:rFonts w:ascii="Arial" w:hAnsi="Arial" w:cs="Arial"/>
        </w:rPr>
        <w:t xml:space="preserve"> essay double spaced using Times New Roman, size</w:t>
      </w:r>
      <w:r w:rsidRPr="001A1F53">
        <w:rPr>
          <w:rFonts w:ascii="Arial" w:hAnsi="Arial" w:cs="Arial"/>
        </w:rPr>
        <w:t xml:space="preserve"> 12 font. </w:t>
      </w:r>
    </w:p>
    <w:p w14:paraId="4BA3BB40" w14:textId="32C46CCF" w:rsidR="00F91E6C" w:rsidRPr="001A1F53" w:rsidRDefault="00F91E6C" w:rsidP="00F91E6C">
      <w:pPr>
        <w:numPr>
          <w:ilvl w:val="1"/>
          <w:numId w:val="2"/>
        </w:numPr>
        <w:spacing w:after="0"/>
        <w:rPr>
          <w:rFonts w:ascii="Arial" w:hAnsi="Arial" w:cs="Arial"/>
        </w:rPr>
      </w:pPr>
      <w:r w:rsidRPr="001A1F53">
        <w:rPr>
          <w:rFonts w:ascii="Arial" w:hAnsi="Arial" w:cs="Arial"/>
        </w:rPr>
        <w:t>Provide a work</w:t>
      </w:r>
      <w:r w:rsidR="00242292">
        <w:rPr>
          <w:rFonts w:ascii="Arial" w:hAnsi="Arial" w:cs="Arial"/>
        </w:rPr>
        <w:t>s cited page with a</w:t>
      </w:r>
      <w:r w:rsidR="00FF3D02" w:rsidRPr="001A1F53">
        <w:rPr>
          <w:rFonts w:ascii="Arial" w:hAnsi="Arial" w:cs="Arial"/>
        </w:rPr>
        <w:t xml:space="preserve">t least five sources. </w:t>
      </w:r>
    </w:p>
    <w:p w14:paraId="4D25C88A" w14:textId="77777777" w:rsidR="00272EFA" w:rsidRPr="001A1F53" w:rsidRDefault="00272EFA" w:rsidP="00272EFA">
      <w:pPr>
        <w:spacing w:after="0"/>
        <w:rPr>
          <w:rFonts w:ascii="Arial" w:hAnsi="Arial" w:cs="Arial"/>
        </w:rPr>
      </w:pPr>
    </w:p>
    <w:p w14:paraId="3D8B457A" w14:textId="77777777" w:rsidR="003326A4" w:rsidRPr="001A1F53" w:rsidRDefault="003326A4" w:rsidP="00242292">
      <w:pPr>
        <w:spacing w:after="0"/>
        <w:rPr>
          <w:rFonts w:ascii="Arial" w:hAnsi="Arial" w:cs="Arial"/>
        </w:rPr>
      </w:pPr>
      <w:r w:rsidRPr="001A1F53">
        <w:rPr>
          <w:rFonts w:ascii="Arial" w:hAnsi="Arial" w:cs="Arial"/>
          <w:b/>
          <w:u w:val="single"/>
        </w:rPr>
        <w:t>Standards</w:t>
      </w:r>
      <w:r w:rsidRPr="001A1F53">
        <w:rPr>
          <w:rFonts w:ascii="Arial" w:hAnsi="Arial" w:cs="Arial"/>
          <w:b/>
        </w:rPr>
        <w:t xml:space="preserve">: </w:t>
      </w:r>
      <w:r w:rsidRPr="001A1F53">
        <w:rPr>
          <w:rFonts w:ascii="Arial" w:hAnsi="Arial" w:cs="Arial"/>
        </w:rPr>
        <w:t>Students must achieve a minimum of 70%.</w:t>
      </w:r>
    </w:p>
    <w:p w14:paraId="22F53004" w14:textId="77777777" w:rsidR="00272EFA" w:rsidRPr="001A1F53" w:rsidRDefault="00272EFA" w:rsidP="00272EFA">
      <w:pPr>
        <w:spacing w:after="0"/>
        <w:ind w:left="360"/>
        <w:rPr>
          <w:rFonts w:ascii="Arial" w:hAnsi="Arial" w:cs="Arial"/>
        </w:rPr>
      </w:pPr>
    </w:p>
    <w:p w14:paraId="333FC300" w14:textId="6FB14FF3" w:rsidR="00B03F64" w:rsidRPr="001A1F53" w:rsidRDefault="00242292" w:rsidP="00272EFA">
      <w:pPr>
        <w:spacing w:after="0" w:line="360" w:lineRule="auto"/>
        <w:rPr>
          <w:rFonts w:ascii="Arial" w:hAnsi="Arial" w:cs="Arial"/>
          <w:b/>
          <w:smallCaps/>
        </w:rPr>
      </w:pPr>
      <w:r>
        <w:rPr>
          <w:rFonts w:ascii="Arial" w:hAnsi="Arial" w:cs="Arial"/>
          <w:b/>
          <w:u w:val="single"/>
        </w:rPr>
        <w:t>TASKS</w:t>
      </w:r>
      <w:r w:rsidR="00133EF1" w:rsidRPr="001A1F53">
        <w:rPr>
          <w:rFonts w:ascii="Arial" w:hAnsi="Arial" w:cs="Arial"/>
          <w:b/>
          <w:smallCaps/>
        </w:rPr>
        <w:t>:</w:t>
      </w:r>
    </w:p>
    <w:p w14:paraId="09C62633" w14:textId="51449C37" w:rsidR="00995B1D" w:rsidRPr="001A1F53" w:rsidRDefault="00995B1D" w:rsidP="00272EFA">
      <w:pPr>
        <w:spacing w:after="0" w:line="360" w:lineRule="auto"/>
        <w:ind w:left="720" w:hanging="720"/>
        <w:rPr>
          <w:rFonts w:ascii="Arial" w:hAnsi="Arial" w:cs="Arial"/>
        </w:rPr>
      </w:pPr>
      <w:r w:rsidRPr="001A1F53">
        <w:rPr>
          <w:rFonts w:ascii="Arial" w:hAnsi="Arial" w:cs="Arial"/>
        </w:rPr>
        <w:t>Analysis</w:t>
      </w:r>
      <w:r w:rsidR="002E74A3" w:rsidRPr="001A1F53">
        <w:rPr>
          <w:rFonts w:ascii="Arial" w:hAnsi="Arial" w:cs="Arial"/>
        </w:rPr>
        <w:t xml:space="preserve"> </w:t>
      </w:r>
      <w:r w:rsidRPr="001A1F53">
        <w:rPr>
          <w:rFonts w:ascii="Arial" w:hAnsi="Arial" w:cs="Arial"/>
        </w:rPr>
        <w:t xml:space="preserve">of </w:t>
      </w:r>
      <w:r w:rsidR="00242292">
        <w:rPr>
          <w:rFonts w:ascii="Arial" w:hAnsi="Arial" w:cs="Arial"/>
        </w:rPr>
        <w:t>Sentinel</w:t>
      </w:r>
      <w:r w:rsidR="002E74A3" w:rsidRPr="001A1F53">
        <w:rPr>
          <w:rFonts w:ascii="Arial" w:hAnsi="Arial" w:cs="Arial"/>
        </w:rPr>
        <w:t xml:space="preserve"> Event policy</w:t>
      </w:r>
      <w:r w:rsidRPr="001A1F53">
        <w:rPr>
          <w:rFonts w:ascii="Arial" w:hAnsi="Arial" w:cs="Arial"/>
        </w:rPr>
        <w:tab/>
      </w:r>
      <w:r w:rsidR="00B03F64" w:rsidRPr="001A1F53">
        <w:rPr>
          <w:rFonts w:ascii="Arial" w:hAnsi="Arial" w:cs="Arial"/>
        </w:rPr>
        <w:t xml:space="preserve"> </w:t>
      </w:r>
      <w:r w:rsidR="003326A4" w:rsidRPr="001A1F53">
        <w:rPr>
          <w:rFonts w:ascii="Arial" w:hAnsi="Arial" w:cs="Arial"/>
        </w:rPr>
        <w:tab/>
      </w:r>
      <w:r w:rsidR="003D337B" w:rsidRPr="001A1F53">
        <w:rPr>
          <w:rFonts w:ascii="Arial" w:hAnsi="Arial" w:cs="Arial"/>
        </w:rPr>
        <w:tab/>
      </w:r>
      <w:r w:rsidR="003D337B" w:rsidRPr="001A1F53">
        <w:rPr>
          <w:rFonts w:ascii="Arial" w:hAnsi="Arial" w:cs="Arial"/>
        </w:rPr>
        <w:tab/>
      </w:r>
      <w:r w:rsidR="003326A4" w:rsidRPr="001A1F53">
        <w:rPr>
          <w:rFonts w:ascii="Arial" w:hAnsi="Arial" w:cs="Arial"/>
        </w:rPr>
        <w:tab/>
      </w:r>
      <w:r w:rsidR="003326A4" w:rsidRPr="001A1F53">
        <w:rPr>
          <w:rFonts w:ascii="Arial" w:hAnsi="Arial" w:cs="Arial"/>
        </w:rPr>
        <w:tab/>
      </w:r>
      <w:r w:rsidRPr="001A1F53">
        <w:rPr>
          <w:rFonts w:ascii="Arial" w:hAnsi="Arial" w:cs="Arial"/>
        </w:rPr>
        <w:t>_______/20</w:t>
      </w:r>
    </w:p>
    <w:p w14:paraId="3462C537" w14:textId="6D4FE0B3" w:rsidR="00995B1D" w:rsidRPr="001A1F53" w:rsidRDefault="00995B1D" w:rsidP="00272EFA">
      <w:pPr>
        <w:spacing w:after="0" w:line="360" w:lineRule="auto"/>
        <w:ind w:left="720" w:hanging="720"/>
        <w:rPr>
          <w:rFonts w:ascii="Arial" w:hAnsi="Arial" w:cs="Arial"/>
        </w:rPr>
      </w:pPr>
      <w:r w:rsidRPr="001A1F53">
        <w:rPr>
          <w:rFonts w:ascii="Arial" w:hAnsi="Arial" w:cs="Arial"/>
        </w:rPr>
        <w:t>Analysi</w:t>
      </w:r>
      <w:r w:rsidR="001A1F53">
        <w:rPr>
          <w:rFonts w:ascii="Arial" w:hAnsi="Arial" w:cs="Arial"/>
        </w:rPr>
        <w:t xml:space="preserve">s of </w:t>
      </w:r>
      <w:r w:rsidR="00242292">
        <w:rPr>
          <w:rFonts w:ascii="Arial" w:hAnsi="Arial" w:cs="Arial"/>
        </w:rPr>
        <w:t>sentinel event data</w:t>
      </w:r>
      <w:r w:rsidR="001A1F53">
        <w:rPr>
          <w:rFonts w:ascii="Arial" w:hAnsi="Arial" w:cs="Arial"/>
        </w:rPr>
        <w:tab/>
      </w:r>
      <w:r w:rsidR="001A1F53">
        <w:rPr>
          <w:rFonts w:ascii="Arial" w:hAnsi="Arial" w:cs="Arial"/>
        </w:rPr>
        <w:tab/>
      </w:r>
      <w:r w:rsidR="001A1F53">
        <w:rPr>
          <w:rFonts w:ascii="Arial" w:hAnsi="Arial" w:cs="Arial"/>
        </w:rPr>
        <w:tab/>
      </w:r>
      <w:r w:rsidR="001A1F53">
        <w:rPr>
          <w:rFonts w:ascii="Arial" w:hAnsi="Arial" w:cs="Arial"/>
        </w:rPr>
        <w:tab/>
      </w:r>
      <w:r w:rsidR="001A1F53">
        <w:rPr>
          <w:rFonts w:ascii="Arial" w:hAnsi="Arial" w:cs="Arial"/>
        </w:rPr>
        <w:tab/>
      </w:r>
      <w:r w:rsidR="001A1F53">
        <w:rPr>
          <w:rFonts w:ascii="Arial" w:hAnsi="Arial" w:cs="Arial"/>
        </w:rPr>
        <w:tab/>
      </w:r>
      <w:r w:rsidRPr="001A1F53">
        <w:rPr>
          <w:rFonts w:ascii="Arial" w:hAnsi="Arial" w:cs="Arial"/>
        </w:rPr>
        <w:t xml:space="preserve"> _______/15</w:t>
      </w:r>
    </w:p>
    <w:p w14:paraId="21351AE3" w14:textId="4CA8BF2F" w:rsidR="00B03F64" w:rsidRPr="001A1F53" w:rsidRDefault="002E74A3" w:rsidP="00272EFA">
      <w:pPr>
        <w:spacing w:after="0" w:line="360" w:lineRule="auto"/>
        <w:ind w:left="720" w:hanging="720"/>
        <w:rPr>
          <w:rFonts w:ascii="Arial" w:hAnsi="Arial" w:cs="Arial"/>
        </w:rPr>
      </w:pPr>
      <w:r w:rsidRPr="001A1F53">
        <w:rPr>
          <w:rFonts w:ascii="Arial" w:hAnsi="Arial" w:cs="Arial"/>
        </w:rPr>
        <w:t>Recommend ways</w:t>
      </w:r>
      <w:r w:rsidR="00242292">
        <w:rPr>
          <w:rFonts w:ascii="Arial" w:hAnsi="Arial" w:cs="Arial"/>
        </w:rPr>
        <w:t xml:space="preserve"> to improve the existing policy</w:t>
      </w:r>
      <w:r w:rsidRPr="001A1F53">
        <w:rPr>
          <w:rFonts w:ascii="Arial" w:hAnsi="Arial" w:cs="Arial"/>
        </w:rPr>
        <w:tab/>
      </w:r>
      <w:r w:rsidR="00272EFA" w:rsidRPr="001A1F53">
        <w:rPr>
          <w:rFonts w:ascii="Arial" w:hAnsi="Arial" w:cs="Arial"/>
        </w:rPr>
        <w:tab/>
      </w:r>
      <w:r w:rsidR="00272EFA" w:rsidRPr="001A1F53">
        <w:rPr>
          <w:rFonts w:ascii="Arial" w:hAnsi="Arial" w:cs="Arial"/>
        </w:rPr>
        <w:tab/>
      </w:r>
      <w:r w:rsidR="003326A4" w:rsidRPr="001A1F53">
        <w:rPr>
          <w:rFonts w:ascii="Arial" w:hAnsi="Arial" w:cs="Arial"/>
        </w:rPr>
        <w:tab/>
      </w:r>
      <w:r w:rsidR="00995B1D" w:rsidRPr="001A1F53">
        <w:rPr>
          <w:rFonts w:ascii="Arial" w:hAnsi="Arial" w:cs="Arial"/>
        </w:rPr>
        <w:t>_______/15</w:t>
      </w:r>
    </w:p>
    <w:p w14:paraId="0D553CAD" w14:textId="00BB39C2" w:rsidR="00133EF1" w:rsidRPr="001A1F53" w:rsidRDefault="002E74A3" w:rsidP="00272EFA">
      <w:pPr>
        <w:spacing w:after="0" w:line="360" w:lineRule="auto"/>
        <w:ind w:left="720" w:hanging="720"/>
        <w:rPr>
          <w:rFonts w:ascii="Arial" w:hAnsi="Arial" w:cs="Arial"/>
        </w:rPr>
      </w:pPr>
      <w:r w:rsidRPr="001A1F53">
        <w:rPr>
          <w:rFonts w:ascii="Arial" w:hAnsi="Arial" w:cs="Arial"/>
        </w:rPr>
        <w:t>Discuss the Root Cause Analyses and Actions (RCA2) process</w:t>
      </w:r>
      <w:r w:rsidR="00133EF1" w:rsidRPr="001A1F53">
        <w:rPr>
          <w:rFonts w:ascii="Arial" w:hAnsi="Arial" w:cs="Arial"/>
        </w:rPr>
        <w:tab/>
      </w:r>
      <w:r w:rsidR="00133EF1" w:rsidRPr="001A1F53">
        <w:rPr>
          <w:rFonts w:ascii="Arial" w:hAnsi="Arial" w:cs="Arial"/>
        </w:rPr>
        <w:tab/>
      </w:r>
      <w:r w:rsidR="00995B1D" w:rsidRPr="001A1F53">
        <w:rPr>
          <w:rFonts w:ascii="Arial" w:hAnsi="Arial" w:cs="Arial"/>
        </w:rPr>
        <w:t>_______/15</w:t>
      </w:r>
    </w:p>
    <w:p w14:paraId="1A0573E5" w14:textId="29A36620" w:rsidR="00B03F64" w:rsidRPr="001A1F53" w:rsidRDefault="002E74A3" w:rsidP="00272EFA">
      <w:pPr>
        <w:spacing w:after="0" w:line="360" w:lineRule="auto"/>
        <w:ind w:left="720" w:hanging="720"/>
        <w:rPr>
          <w:rFonts w:ascii="Arial" w:hAnsi="Arial" w:cs="Arial"/>
        </w:rPr>
      </w:pPr>
      <w:r w:rsidRPr="001A1F53">
        <w:rPr>
          <w:rFonts w:ascii="Arial" w:hAnsi="Arial" w:cs="Arial"/>
        </w:rPr>
        <w:t>Discuss use of Cause and Effect Diagram tool</w:t>
      </w:r>
      <w:r w:rsidRPr="001A1F53">
        <w:rPr>
          <w:rFonts w:ascii="Arial" w:hAnsi="Arial" w:cs="Arial"/>
        </w:rPr>
        <w:tab/>
      </w:r>
      <w:r w:rsidRPr="001A1F53">
        <w:rPr>
          <w:rFonts w:ascii="Arial" w:hAnsi="Arial" w:cs="Arial"/>
        </w:rPr>
        <w:tab/>
      </w:r>
      <w:r w:rsidRPr="001A1F53">
        <w:rPr>
          <w:rFonts w:ascii="Arial" w:hAnsi="Arial" w:cs="Arial"/>
        </w:rPr>
        <w:tab/>
      </w:r>
      <w:r w:rsidRPr="001A1F53">
        <w:rPr>
          <w:rFonts w:ascii="Arial" w:hAnsi="Arial" w:cs="Arial"/>
        </w:rPr>
        <w:tab/>
      </w:r>
      <w:r w:rsidR="00133EF1" w:rsidRPr="001A1F53">
        <w:rPr>
          <w:rFonts w:ascii="Arial" w:hAnsi="Arial" w:cs="Arial"/>
        </w:rPr>
        <w:t>_______/1</w:t>
      </w:r>
      <w:r w:rsidR="004B20C5" w:rsidRPr="001A1F53">
        <w:rPr>
          <w:rFonts w:ascii="Arial" w:hAnsi="Arial" w:cs="Arial"/>
        </w:rPr>
        <w:t>5</w:t>
      </w:r>
    </w:p>
    <w:p w14:paraId="5E3BD0C3" w14:textId="12636643" w:rsidR="00B03F64" w:rsidRPr="001A1F53" w:rsidRDefault="00B03F64" w:rsidP="00272EFA">
      <w:pPr>
        <w:spacing w:after="0" w:line="360" w:lineRule="auto"/>
        <w:ind w:left="720" w:hanging="720"/>
        <w:rPr>
          <w:rFonts w:ascii="Arial" w:hAnsi="Arial" w:cs="Arial"/>
        </w:rPr>
      </w:pPr>
      <w:r w:rsidRPr="001A1F53">
        <w:rPr>
          <w:rFonts w:ascii="Arial" w:hAnsi="Arial" w:cs="Arial"/>
        </w:rPr>
        <w:t xml:space="preserve">Recognize </w:t>
      </w:r>
      <w:r w:rsidR="00377236" w:rsidRPr="001A1F53">
        <w:rPr>
          <w:rFonts w:ascii="Arial" w:hAnsi="Arial" w:cs="Arial"/>
        </w:rPr>
        <w:t>the goal and f</w:t>
      </w:r>
      <w:r w:rsidR="00242292">
        <w:rPr>
          <w:rFonts w:ascii="Arial" w:hAnsi="Arial" w:cs="Arial"/>
        </w:rPr>
        <w:t>ocus of health care institutions</w:t>
      </w:r>
      <w:r w:rsidR="00377236" w:rsidRPr="001A1F53">
        <w:rPr>
          <w:rFonts w:ascii="Arial" w:hAnsi="Arial" w:cs="Arial"/>
        </w:rPr>
        <w:t xml:space="preserve"> policy</w:t>
      </w:r>
      <w:r w:rsidR="00272EFA" w:rsidRPr="001A1F53">
        <w:rPr>
          <w:rFonts w:ascii="Arial" w:hAnsi="Arial" w:cs="Arial"/>
        </w:rPr>
        <w:tab/>
      </w:r>
      <w:r w:rsidR="00272EFA" w:rsidRPr="001A1F53">
        <w:rPr>
          <w:rFonts w:ascii="Arial" w:hAnsi="Arial" w:cs="Arial"/>
        </w:rPr>
        <w:tab/>
      </w:r>
      <w:r w:rsidR="00133EF1" w:rsidRPr="001A1F53">
        <w:rPr>
          <w:rFonts w:ascii="Arial" w:hAnsi="Arial" w:cs="Arial"/>
        </w:rPr>
        <w:t>_______/10</w:t>
      </w:r>
    </w:p>
    <w:p w14:paraId="37C4A800" w14:textId="38D37832" w:rsidR="003326A4" w:rsidRPr="001A1F53" w:rsidRDefault="00D12558" w:rsidP="00272EFA">
      <w:pPr>
        <w:spacing w:after="0" w:line="360" w:lineRule="auto"/>
        <w:ind w:left="720" w:hanging="720"/>
        <w:rPr>
          <w:rFonts w:ascii="Arial" w:hAnsi="Arial" w:cs="Arial"/>
        </w:rPr>
      </w:pPr>
      <w:r w:rsidRPr="001A1F53">
        <w:rPr>
          <w:rFonts w:ascii="Arial" w:hAnsi="Arial" w:cs="Arial"/>
        </w:rPr>
        <w:t xml:space="preserve">Give examples </w:t>
      </w:r>
      <w:r w:rsidR="004252F5" w:rsidRPr="001A1F53">
        <w:rPr>
          <w:rFonts w:ascii="Arial" w:hAnsi="Arial" w:cs="Arial"/>
        </w:rPr>
        <w:t xml:space="preserve">of </w:t>
      </w:r>
      <w:r w:rsidR="00377236" w:rsidRPr="001A1F53">
        <w:rPr>
          <w:rFonts w:ascii="Arial" w:hAnsi="Arial" w:cs="Arial"/>
        </w:rPr>
        <w:t>Sentine</w:t>
      </w:r>
      <w:r w:rsidR="00242292">
        <w:rPr>
          <w:rFonts w:ascii="Arial" w:hAnsi="Arial" w:cs="Arial"/>
        </w:rPr>
        <w:t>l events identified by the TJC</w:t>
      </w:r>
      <w:r w:rsidR="00242292">
        <w:rPr>
          <w:rFonts w:ascii="Arial" w:hAnsi="Arial" w:cs="Arial"/>
        </w:rPr>
        <w:tab/>
      </w:r>
      <w:r w:rsidR="00272EFA" w:rsidRPr="001A1F53">
        <w:rPr>
          <w:rFonts w:ascii="Arial" w:hAnsi="Arial" w:cs="Arial"/>
        </w:rPr>
        <w:tab/>
      </w:r>
      <w:r w:rsidR="00272EFA" w:rsidRPr="001A1F53">
        <w:rPr>
          <w:rFonts w:ascii="Arial" w:hAnsi="Arial" w:cs="Arial"/>
        </w:rPr>
        <w:tab/>
      </w:r>
      <w:r w:rsidR="003326A4" w:rsidRPr="001A1F53">
        <w:rPr>
          <w:rFonts w:ascii="Arial" w:hAnsi="Arial" w:cs="Arial"/>
        </w:rPr>
        <w:t>_______</w:t>
      </w:r>
      <w:r w:rsidR="00133EF1" w:rsidRPr="001A1F53">
        <w:rPr>
          <w:rFonts w:ascii="Arial" w:hAnsi="Arial" w:cs="Arial"/>
        </w:rPr>
        <w:t>_</w:t>
      </w:r>
      <w:r w:rsidR="003326A4" w:rsidRPr="001A1F53">
        <w:rPr>
          <w:rFonts w:ascii="Arial" w:hAnsi="Arial" w:cs="Arial"/>
        </w:rPr>
        <w:t>/5</w:t>
      </w:r>
    </w:p>
    <w:p w14:paraId="0E6DD5B4" w14:textId="02658C82" w:rsidR="003326A4" w:rsidRDefault="00242292" w:rsidP="00272EFA">
      <w:pPr>
        <w:spacing w:after="0" w:line="360" w:lineRule="auto"/>
        <w:ind w:left="720" w:hanging="720"/>
        <w:rPr>
          <w:rFonts w:ascii="Arial" w:hAnsi="Arial" w:cs="Arial"/>
        </w:rPr>
      </w:pPr>
      <w:r>
        <w:rPr>
          <w:rFonts w:ascii="Arial" w:hAnsi="Arial" w:cs="Arial"/>
        </w:rPr>
        <w:t>Correct spelling, punctuation, grammar and formatting</w:t>
      </w:r>
      <w:r w:rsidR="003326A4" w:rsidRPr="001A1F53">
        <w:rPr>
          <w:rFonts w:ascii="Arial" w:hAnsi="Arial" w:cs="Arial"/>
        </w:rPr>
        <w:t xml:space="preserve"> </w:t>
      </w:r>
      <w:r w:rsidR="003326A4" w:rsidRPr="001A1F53">
        <w:rPr>
          <w:rFonts w:ascii="Arial" w:hAnsi="Arial" w:cs="Arial"/>
        </w:rPr>
        <w:tab/>
      </w:r>
      <w:r w:rsidR="003326A4" w:rsidRPr="001A1F53">
        <w:rPr>
          <w:rFonts w:ascii="Arial" w:hAnsi="Arial" w:cs="Arial"/>
        </w:rPr>
        <w:tab/>
      </w:r>
      <w:r w:rsidR="003326A4" w:rsidRPr="001A1F53">
        <w:rPr>
          <w:rFonts w:ascii="Arial" w:hAnsi="Arial" w:cs="Arial"/>
        </w:rPr>
        <w:tab/>
        <w:t>_______</w:t>
      </w:r>
      <w:r w:rsidR="00133EF1" w:rsidRPr="001A1F53">
        <w:rPr>
          <w:rFonts w:ascii="Arial" w:hAnsi="Arial" w:cs="Arial"/>
        </w:rPr>
        <w:t>_</w:t>
      </w:r>
      <w:r w:rsidR="003326A4" w:rsidRPr="001A1F53">
        <w:rPr>
          <w:rFonts w:ascii="Arial" w:hAnsi="Arial" w:cs="Arial"/>
        </w:rPr>
        <w:t>/5</w:t>
      </w:r>
    </w:p>
    <w:p w14:paraId="0CCC1007" w14:textId="77777777" w:rsidR="00242292" w:rsidRPr="001A1F53" w:rsidRDefault="00242292" w:rsidP="00272EFA">
      <w:pPr>
        <w:spacing w:after="0" w:line="360" w:lineRule="auto"/>
        <w:ind w:left="720" w:hanging="720"/>
        <w:rPr>
          <w:rFonts w:ascii="Arial" w:hAnsi="Arial" w:cs="Arial"/>
        </w:rPr>
      </w:pPr>
    </w:p>
    <w:p w14:paraId="26AC1BBB" w14:textId="30C4E82B" w:rsidR="003326A4" w:rsidRPr="001A1F53" w:rsidRDefault="003326A4" w:rsidP="00272EFA">
      <w:pPr>
        <w:spacing w:after="0" w:line="360" w:lineRule="auto"/>
        <w:ind w:left="720" w:hanging="720"/>
        <w:rPr>
          <w:rFonts w:ascii="Arial" w:hAnsi="Arial" w:cs="Arial"/>
        </w:rPr>
      </w:pPr>
      <w:r w:rsidRPr="001A1F53">
        <w:rPr>
          <w:rFonts w:ascii="Arial" w:hAnsi="Arial" w:cs="Arial"/>
        </w:rPr>
        <w:t xml:space="preserve">Total Points: </w:t>
      </w:r>
      <w:r w:rsidR="001A1F53">
        <w:rPr>
          <w:rFonts w:ascii="Arial" w:hAnsi="Arial" w:cs="Arial"/>
        </w:rPr>
        <w:tab/>
      </w:r>
      <w:r w:rsidR="001A1F53">
        <w:rPr>
          <w:rFonts w:ascii="Arial" w:hAnsi="Arial" w:cs="Arial"/>
        </w:rPr>
        <w:tab/>
      </w:r>
      <w:r w:rsidR="001A1F53">
        <w:rPr>
          <w:rFonts w:ascii="Arial" w:hAnsi="Arial" w:cs="Arial"/>
        </w:rPr>
        <w:tab/>
      </w:r>
      <w:r w:rsidR="001A1F53">
        <w:rPr>
          <w:rFonts w:ascii="Arial" w:hAnsi="Arial" w:cs="Arial"/>
        </w:rPr>
        <w:tab/>
      </w:r>
      <w:r w:rsidR="001A1F53">
        <w:rPr>
          <w:rFonts w:ascii="Arial" w:hAnsi="Arial" w:cs="Arial"/>
        </w:rPr>
        <w:tab/>
      </w:r>
      <w:r w:rsidR="001A1F53">
        <w:rPr>
          <w:rFonts w:ascii="Arial" w:hAnsi="Arial" w:cs="Arial"/>
        </w:rPr>
        <w:tab/>
      </w:r>
      <w:r w:rsidR="001A1F53">
        <w:rPr>
          <w:rFonts w:ascii="Arial" w:hAnsi="Arial" w:cs="Arial"/>
        </w:rPr>
        <w:tab/>
      </w:r>
      <w:r w:rsidR="001A1F53">
        <w:rPr>
          <w:rFonts w:ascii="Arial" w:hAnsi="Arial" w:cs="Arial"/>
        </w:rPr>
        <w:tab/>
      </w:r>
      <w:r w:rsidR="001A1F53">
        <w:rPr>
          <w:rFonts w:ascii="Arial" w:hAnsi="Arial" w:cs="Arial"/>
        </w:rPr>
        <w:tab/>
      </w:r>
      <w:r w:rsidR="00133EF1" w:rsidRPr="001A1F53">
        <w:rPr>
          <w:rFonts w:ascii="Arial" w:hAnsi="Arial" w:cs="Arial"/>
        </w:rPr>
        <w:t>_______/100</w:t>
      </w:r>
    </w:p>
    <w:p w14:paraId="33B09765" w14:textId="77777777" w:rsidR="00272EFA" w:rsidRPr="001A1F53" w:rsidRDefault="00272EFA" w:rsidP="00272EFA">
      <w:pPr>
        <w:spacing w:after="0"/>
        <w:ind w:left="720" w:hanging="720"/>
        <w:rPr>
          <w:rFonts w:ascii="Arial" w:hAnsi="Arial" w:cs="Arial"/>
        </w:rPr>
      </w:pPr>
    </w:p>
    <w:p w14:paraId="18ACDBF4" w14:textId="77777777" w:rsidR="00833780" w:rsidRPr="001A1F53" w:rsidRDefault="00133EF1" w:rsidP="00272EFA">
      <w:pPr>
        <w:spacing w:after="0"/>
        <w:ind w:left="720" w:hanging="720"/>
        <w:rPr>
          <w:rFonts w:ascii="Arial" w:hAnsi="Arial" w:cs="Arial"/>
          <w:b/>
        </w:rPr>
      </w:pPr>
      <w:r w:rsidRPr="001A1F53">
        <w:rPr>
          <w:rFonts w:ascii="Arial" w:hAnsi="Arial" w:cs="Arial"/>
          <w:b/>
        </w:rPr>
        <w:t>Instructor: ________________________________</w:t>
      </w:r>
      <w:r w:rsidR="00272EFA" w:rsidRPr="001A1F53">
        <w:rPr>
          <w:rFonts w:ascii="Arial" w:hAnsi="Arial" w:cs="Arial"/>
          <w:b/>
        </w:rPr>
        <w:tab/>
      </w:r>
      <w:r w:rsidR="00272EFA" w:rsidRPr="001A1F53">
        <w:rPr>
          <w:rFonts w:ascii="Arial" w:hAnsi="Arial" w:cs="Arial"/>
          <w:b/>
        </w:rPr>
        <w:tab/>
        <w:t>Date:_____________</w:t>
      </w:r>
    </w:p>
    <w:p w14:paraId="6B846230" w14:textId="2D3114D1" w:rsidR="00E8107A" w:rsidRPr="001A1F53" w:rsidRDefault="00E8107A" w:rsidP="00272EFA">
      <w:pPr>
        <w:spacing w:after="0"/>
        <w:ind w:left="720" w:hanging="720"/>
        <w:rPr>
          <w:rFonts w:ascii="Arial" w:hAnsi="Arial" w:cs="Arial"/>
          <w:b/>
        </w:rPr>
      </w:pPr>
    </w:p>
    <w:p w14:paraId="07856D37" w14:textId="77777777" w:rsidR="00E8107A" w:rsidRPr="001A1F53" w:rsidRDefault="00E8107A" w:rsidP="00272EFA">
      <w:pPr>
        <w:spacing w:after="0"/>
        <w:ind w:left="720" w:hanging="720"/>
        <w:rPr>
          <w:rFonts w:ascii="Arial" w:hAnsi="Arial" w:cs="Arial"/>
        </w:rPr>
      </w:pPr>
    </w:p>
    <w:p w14:paraId="54CA4554" w14:textId="77777777" w:rsidR="00E8107A" w:rsidRPr="001A1F53" w:rsidRDefault="00E8107A">
      <w:pPr>
        <w:spacing w:after="0" w:line="240" w:lineRule="auto"/>
        <w:rPr>
          <w:rFonts w:ascii="Arial" w:hAnsi="Arial" w:cs="Arial"/>
        </w:rPr>
      </w:pPr>
    </w:p>
    <w:p w14:paraId="285671F9" w14:textId="77777777" w:rsidR="00E8107A" w:rsidRPr="001A1F53" w:rsidRDefault="00E8107A">
      <w:pPr>
        <w:spacing w:after="0" w:line="240" w:lineRule="auto"/>
        <w:rPr>
          <w:rFonts w:ascii="Arial" w:hAnsi="Arial" w:cs="Arial"/>
        </w:rPr>
      </w:pPr>
    </w:p>
    <w:p w14:paraId="35D729F6" w14:textId="77777777" w:rsidR="00E8107A" w:rsidRPr="001A1F53" w:rsidRDefault="00E8107A">
      <w:pPr>
        <w:spacing w:after="0" w:line="240" w:lineRule="auto"/>
        <w:rPr>
          <w:rFonts w:ascii="Arial" w:hAnsi="Arial" w:cs="Arial"/>
        </w:rPr>
      </w:pPr>
      <w:r w:rsidRPr="001A1F53">
        <w:rPr>
          <w:rFonts w:ascii="Arial" w:hAnsi="Arial" w:cs="Arial"/>
        </w:rPr>
        <w:br w:type="page"/>
      </w: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1440"/>
        <w:gridCol w:w="3960"/>
        <w:gridCol w:w="3960"/>
      </w:tblGrid>
      <w:tr w:rsidR="00E8107A" w:rsidRPr="001A1F53" w14:paraId="31D90C45" w14:textId="77777777" w:rsidTr="00482E77">
        <w:trPr>
          <w:cantSplit/>
          <w:trHeight w:val="343"/>
        </w:trPr>
        <w:tc>
          <w:tcPr>
            <w:tcW w:w="1440" w:type="dxa"/>
            <w:vMerge w:val="restart"/>
            <w:shd w:val="clear" w:color="auto" w:fill="auto"/>
          </w:tcPr>
          <w:p w14:paraId="2798D12D" w14:textId="77777777" w:rsidR="00E8107A" w:rsidRPr="001A1F53" w:rsidRDefault="00E8107A" w:rsidP="00482E77">
            <w:pPr>
              <w:tabs>
                <w:tab w:val="left" w:pos="1584"/>
                <w:tab w:val="left" w:pos="1987"/>
                <w:tab w:val="left" w:pos="2419"/>
                <w:tab w:val="left" w:pos="2851"/>
                <w:tab w:val="left" w:pos="9504"/>
              </w:tabs>
              <w:jc w:val="both"/>
            </w:pPr>
          </w:p>
          <w:p w14:paraId="2C9D6618" w14:textId="77777777" w:rsidR="00E8107A" w:rsidRPr="001A1F53" w:rsidRDefault="00E8107A" w:rsidP="00482E77">
            <w:pPr>
              <w:tabs>
                <w:tab w:val="left" w:pos="1584"/>
                <w:tab w:val="left" w:pos="1987"/>
                <w:tab w:val="left" w:pos="2419"/>
                <w:tab w:val="left" w:pos="2851"/>
                <w:tab w:val="left" w:pos="9504"/>
              </w:tabs>
              <w:jc w:val="center"/>
              <w:rPr>
                <w:b/>
                <w:color w:val="0000FF"/>
              </w:rPr>
            </w:pPr>
            <w:r w:rsidRPr="001A1F53">
              <w:rPr>
                <w:b/>
                <w:color w:val="0000FF"/>
              </w:rPr>
              <w:t>[Hospital Logo]</w:t>
            </w:r>
          </w:p>
          <w:p w14:paraId="2D6269C8" w14:textId="77777777" w:rsidR="00E8107A" w:rsidRPr="001A1F53" w:rsidRDefault="00E8107A" w:rsidP="00482E77">
            <w:pPr>
              <w:tabs>
                <w:tab w:val="left" w:pos="1584"/>
                <w:tab w:val="left" w:pos="1987"/>
                <w:tab w:val="left" w:pos="2419"/>
                <w:tab w:val="left" w:pos="2851"/>
                <w:tab w:val="left" w:pos="9504"/>
              </w:tabs>
              <w:jc w:val="center"/>
              <w:rPr>
                <w:b/>
              </w:rPr>
            </w:pPr>
          </w:p>
          <w:p w14:paraId="3380E6F0" w14:textId="77777777" w:rsidR="00E8107A" w:rsidRPr="001A1F53" w:rsidRDefault="00E8107A" w:rsidP="00482E77">
            <w:pPr>
              <w:tabs>
                <w:tab w:val="left" w:pos="1584"/>
                <w:tab w:val="left" w:pos="1987"/>
                <w:tab w:val="left" w:pos="2419"/>
                <w:tab w:val="left" w:pos="2851"/>
                <w:tab w:val="left" w:pos="9504"/>
              </w:tabs>
              <w:jc w:val="center"/>
              <w:rPr>
                <w:b/>
              </w:rPr>
            </w:pPr>
          </w:p>
        </w:tc>
        <w:tc>
          <w:tcPr>
            <w:tcW w:w="3960" w:type="dxa"/>
            <w:vAlign w:val="center"/>
          </w:tcPr>
          <w:p w14:paraId="73285163" w14:textId="77777777" w:rsidR="00E8107A" w:rsidRPr="001A1F53" w:rsidRDefault="00E8107A" w:rsidP="00482E77">
            <w:pPr>
              <w:pStyle w:val="HeaderHeading1"/>
              <w:spacing w:before="0" w:after="0"/>
              <w:rPr>
                <w:color w:val="0000FF"/>
                <w:sz w:val="22"/>
                <w:szCs w:val="22"/>
              </w:rPr>
            </w:pPr>
            <w:r w:rsidRPr="001A1F53">
              <w:rPr>
                <w:color w:val="0000FF"/>
                <w:sz w:val="22"/>
                <w:szCs w:val="22"/>
              </w:rPr>
              <w:t xml:space="preserve">[Insert Manual Name] </w:t>
            </w:r>
          </w:p>
        </w:tc>
        <w:tc>
          <w:tcPr>
            <w:tcW w:w="3960" w:type="dxa"/>
            <w:vAlign w:val="center"/>
          </w:tcPr>
          <w:p w14:paraId="6CC738C0" w14:textId="77777777" w:rsidR="00E8107A" w:rsidRPr="001A1F53" w:rsidRDefault="00E8107A" w:rsidP="00482E77">
            <w:pPr>
              <w:pStyle w:val="NoBlock"/>
              <w:tabs>
                <w:tab w:val="clear" w:pos="651"/>
                <w:tab w:val="right" w:pos="3696"/>
              </w:tabs>
              <w:spacing w:before="0" w:after="0"/>
              <w:ind w:left="-42" w:firstLine="0"/>
              <w:rPr>
                <w:szCs w:val="22"/>
              </w:rPr>
            </w:pPr>
            <w:r w:rsidRPr="001A1F53">
              <w:rPr>
                <w:szCs w:val="22"/>
              </w:rPr>
              <w:t>No.</w:t>
            </w:r>
            <w:r w:rsidRPr="001A1F53">
              <w:rPr>
                <w:szCs w:val="22"/>
              </w:rPr>
              <w:tab/>
              <w:t>CO-2.010</w:t>
            </w:r>
          </w:p>
        </w:tc>
      </w:tr>
      <w:tr w:rsidR="00E8107A" w:rsidRPr="001A1F53" w14:paraId="5B8175BB" w14:textId="77777777" w:rsidTr="00482E77">
        <w:trPr>
          <w:cantSplit/>
          <w:trHeight w:val="274"/>
        </w:trPr>
        <w:tc>
          <w:tcPr>
            <w:tcW w:w="1440" w:type="dxa"/>
            <w:vMerge/>
            <w:shd w:val="clear" w:color="auto" w:fill="auto"/>
          </w:tcPr>
          <w:p w14:paraId="6EB889E8" w14:textId="77777777" w:rsidR="00E8107A" w:rsidRPr="001A1F53" w:rsidRDefault="00E8107A" w:rsidP="00482E77">
            <w:pPr>
              <w:tabs>
                <w:tab w:val="left" w:pos="1584"/>
                <w:tab w:val="left" w:pos="1987"/>
                <w:tab w:val="left" w:pos="2419"/>
                <w:tab w:val="left" w:pos="2851"/>
                <w:tab w:val="left" w:pos="9504"/>
              </w:tabs>
            </w:pPr>
          </w:p>
        </w:tc>
        <w:tc>
          <w:tcPr>
            <w:tcW w:w="3960" w:type="dxa"/>
            <w:vMerge w:val="restart"/>
          </w:tcPr>
          <w:p w14:paraId="388F7720" w14:textId="77777777" w:rsidR="00E8107A" w:rsidRPr="001A1F53" w:rsidRDefault="00E8107A" w:rsidP="00482E77">
            <w:pPr>
              <w:pStyle w:val="HeaderHeading3Draft"/>
              <w:spacing w:after="0"/>
              <w:jc w:val="both"/>
              <w:rPr>
                <w:rFonts w:ascii="Times New Roman Bold" w:hAnsi="Times New Roman Bold"/>
                <w:caps w:val="0"/>
                <w:color w:val="auto"/>
                <w:sz w:val="22"/>
                <w:szCs w:val="22"/>
              </w:rPr>
            </w:pPr>
            <w:r w:rsidRPr="001A1F53">
              <w:rPr>
                <w:rFonts w:ascii="Times New Roman Bold" w:hAnsi="Times New Roman Bold"/>
                <w:caps w:val="0"/>
                <w:color w:val="auto"/>
                <w:sz w:val="22"/>
                <w:szCs w:val="22"/>
              </w:rPr>
              <w:t xml:space="preserve">Title: </w:t>
            </w:r>
          </w:p>
          <w:p w14:paraId="72D9EB8D" w14:textId="77777777" w:rsidR="00E8107A" w:rsidRPr="001A1F53" w:rsidRDefault="00E8107A" w:rsidP="00482E77">
            <w:pPr>
              <w:pStyle w:val="HeaderHeading3Draft"/>
              <w:spacing w:after="0"/>
              <w:jc w:val="left"/>
              <w:rPr>
                <w:color w:val="auto"/>
                <w:sz w:val="22"/>
                <w:szCs w:val="22"/>
              </w:rPr>
            </w:pPr>
          </w:p>
          <w:p w14:paraId="2D2E73C3" w14:textId="77777777" w:rsidR="00E8107A" w:rsidRPr="001A1F53" w:rsidRDefault="00E8107A" w:rsidP="00482E77">
            <w:pPr>
              <w:pStyle w:val="HeaderHeading3Draft"/>
              <w:spacing w:after="0"/>
              <w:jc w:val="left"/>
              <w:rPr>
                <w:color w:val="auto"/>
                <w:sz w:val="22"/>
                <w:szCs w:val="22"/>
              </w:rPr>
            </w:pPr>
          </w:p>
          <w:p w14:paraId="6A1BDD46" w14:textId="77777777" w:rsidR="00E8107A" w:rsidRPr="001A1F53" w:rsidRDefault="00E8107A" w:rsidP="00482E77">
            <w:pPr>
              <w:pStyle w:val="HeaderHeading3Draft"/>
              <w:spacing w:after="0"/>
              <w:rPr>
                <w:color w:val="auto"/>
                <w:sz w:val="22"/>
                <w:szCs w:val="22"/>
              </w:rPr>
            </w:pPr>
            <w:r w:rsidRPr="001A1F53">
              <w:rPr>
                <w:color w:val="auto"/>
                <w:sz w:val="22"/>
                <w:szCs w:val="22"/>
              </w:rPr>
              <w:t xml:space="preserve">Sentinel Event Response </w:t>
            </w:r>
          </w:p>
          <w:p w14:paraId="4A04B3AD" w14:textId="77777777" w:rsidR="00E8107A" w:rsidRPr="001A1F53" w:rsidRDefault="00E8107A" w:rsidP="00482E77">
            <w:pPr>
              <w:pStyle w:val="HeaderHeading3Draft"/>
              <w:spacing w:after="0"/>
              <w:rPr>
                <w:color w:val="auto"/>
                <w:sz w:val="22"/>
                <w:szCs w:val="22"/>
              </w:rPr>
            </w:pPr>
            <w:r w:rsidRPr="001A1F53">
              <w:rPr>
                <w:color w:val="auto"/>
                <w:sz w:val="22"/>
                <w:szCs w:val="22"/>
              </w:rPr>
              <w:t xml:space="preserve">and Reporting </w:t>
            </w:r>
          </w:p>
        </w:tc>
        <w:tc>
          <w:tcPr>
            <w:tcW w:w="3960" w:type="dxa"/>
            <w:vAlign w:val="center"/>
          </w:tcPr>
          <w:p w14:paraId="316DC73E" w14:textId="77777777" w:rsidR="00E8107A" w:rsidRPr="001A1F53" w:rsidRDefault="00E8107A" w:rsidP="00482E77">
            <w:pPr>
              <w:pStyle w:val="PgDtBlocks"/>
              <w:tabs>
                <w:tab w:val="clear" w:pos="1488"/>
                <w:tab w:val="right" w:pos="3696"/>
              </w:tabs>
              <w:spacing w:before="0" w:after="0"/>
              <w:ind w:left="-42" w:firstLine="0"/>
              <w:rPr>
                <w:szCs w:val="22"/>
              </w:rPr>
            </w:pPr>
            <w:r w:rsidRPr="001A1F53">
              <w:rPr>
                <w:szCs w:val="22"/>
              </w:rPr>
              <w:t>Page:</w:t>
            </w:r>
            <w:r w:rsidRPr="001A1F53">
              <w:rPr>
                <w:szCs w:val="22"/>
              </w:rPr>
              <w:tab/>
            </w:r>
            <w:r w:rsidRPr="001A1F53">
              <w:rPr>
                <w:szCs w:val="22"/>
              </w:rPr>
              <w:fldChar w:fldCharType="begin"/>
            </w:r>
            <w:r w:rsidRPr="001A1F53">
              <w:rPr>
                <w:szCs w:val="22"/>
              </w:rPr>
              <w:instrText xml:space="preserve"> PAGE </w:instrText>
            </w:r>
            <w:r w:rsidRPr="001A1F53">
              <w:rPr>
                <w:szCs w:val="22"/>
              </w:rPr>
              <w:fldChar w:fldCharType="separate"/>
            </w:r>
            <w:r w:rsidRPr="001A1F53">
              <w:rPr>
                <w:noProof/>
                <w:szCs w:val="22"/>
              </w:rPr>
              <w:t>1</w:t>
            </w:r>
            <w:r w:rsidRPr="001A1F53">
              <w:rPr>
                <w:szCs w:val="22"/>
              </w:rPr>
              <w:fldChar w:fldCharType="end"/>
            </w:r>
            <w:r w:rsidRPr="001A1F53">
              <w:rPr>
                <w:szCs w:val="22"/>
              </w:rPr>
              <w:t xml:space="preserve"> of </w:t>
            </w:r>
            <w:r w:rsidRPr="001A1F53">
              <w:rPr>
                <w:rStyle w:val="PageNumber"/>
                <w:szCs w:val="22"/>
              </w:rPr>
              <w:fldChar w:fldCharType="begin"/>
            </w:r>
            <w:r w:rsidRPr="001A1F53">
              <w:rPr>
                <w:rStyle w:val="PageNumber"/>
                <w:szCs w:val="22"/>
              </w:rPr>
              <w:instrText xml:space="preserve"> SECTIONPAGES  \* Arabic  \* MERGEFORMAT </w:instrText>
            </w:r>
            <w:r w:rsidRPr="001A1F53">
              <w:rPr>
                <w:rStyle w:val="PageNumber"/>
                <w:szCs w:val="22"/>
              </w:rPr>
              <w:fldChar w:fldCharType="separate"/>
            </w:r>
            <w:r w:rsidRPr="001A1F53">
              <w:rPr>
                <w:rStyle w:val="PageNumber"/>
                <w:noProof/>
                <w:szCs w:val="22"/>
              </w:rPr>
              <w:t>9</w:t>
            </w:r>
            <w:r w:rsidRPr="001A1F53">
              <w:rPr>
                <w:rStyle w:val="PageNumber"/>
                <w:szCs w:val="22"/>
              </w:rPr>
              <w:fldChar w:fldCharType="end"/>
            </w:r>
          </w:p>
        </w:tc>
      </w:tr>
      <w:tr w:rsidR="00E8107A" w:rsidRPr="001A1F53" w14:paraId="7A229126" w14:textId="77777777" w:rsidTr="00482E77">
        <w:trPr>
          <w:cantSplit/>
          <w:trHeight w:val="265"/>
        </w:trPr>
        <w:tc>
          <w:tcPr>
            <w:tcW w:w="1440" w:type="dxa"/>
            <w:vMerge/>
            <w:shd w:val="clear" w:color="auto" w:fill="auto"/>
          </w:tcPr>
          <w:p w14:paraId="108E6978" w14:textId="77777777" w:rsidR="00E8107A" w:rsidRPr="001A1F53" w:rsidRDefault="00E8107A" w:rsidP="00482E77">
            <w:pPr>
              <w:tabs>
                <w:tab w:val="left" w:pos="1584"/>
                <w:tab w:val="left" w:pos="1987"/>
                <w:tab w:val="left" w:pos="2419"/>
                <w:tab w:val="left" w:pos="2851"/>
                <w:tab w:val="left" w:pos="9504"/>
              </w:tabs>
            </w:pPr>
          </w:p>
        </w:tc>
        <w:tc>
          <w:tcPr>
            <w:tcW w:w="3960" w:type="dxa"/>
            <w:vMerge/>
          </w:tcPr>
          <w:p w14:paraId="4270CE9A" w14:textId="77777777" w:rsidR="00E8107A" w:rsidRPr="001A1F53" w:rsidRDefault="00E8107A" w:rsidP="00482E77">
            <w:pPr>
              <w:pStyle w:val="HeaderHeading2"/>
              <w:rPr>
                <w:sz w:val="22"/>
                <w:szCs w:val="22"/>
              </w:rPr>
            </w:pPr>
          </w:p>
        </w:tc>
        <w:tc>
          <w:tcPr>
            <w:tcW w:w="3960" w:type="dxa"/>
            <w:vAlign w:val="center"/>
          </w:tcPr>
          <w:p w14:paraId="7CB2B1A6" w14:textId="77777777" w:rsidR="00E8107A" w:rsidRPr="001A1F53" w:rsidRDefault="00E8107A" w:rsidP="00482E77">
            <w:pPr>
              <w:pStyle w:val="PgDtBlocks"/>
              <w:tabs>
                <w:tab w:val="clear" w:pos="1488"/>
                <w:tab w:val="right" w:pos="3696"/>
              </w:tabs>
              <w:spacing w:before="0" w:after="0"/>
              <w:ind w:left="-42" w:firstLine="0"/>
              <w:rPr>
                <w:rStyle w:val="PageNumber"/>
                <w:szCs w:val="22"/>
              </w:rPr>
            </w:pPr>
            <w:r w:rsidRPr="001A1F53">
              <w:rPr>
                <w:rStyle w:val="PageNumber"/>
                <w:szCs w:val="22"/>
              </w:rPr>
              <w:t xml:space="preserve">Origination Date: </w:t>
            </w:r>
            <w:r w:rsidRPr="001A1F53">
              <w:rPr>
                <w:rStyle w:val="PageNumber"/>
                <w:szCs w:val="22"/>
              </w:rPr>
              <w:tab/>
              <w:t xml:space="preserve">02-08-16; 06-19-14; </w:t>
            </w:r>
          </w:p>
          <w:p w14:paraId="6E5626FC" w14:textId="77777777" w:rsidR="00E8107A" w:rsidRPr="001A1F53" w:rsidRDefault="00E8107A" w:rsidP="00482E77">
            <w:pPr>
              <w:pStyle w:val="PgDtBlocks"/>
              <w:tabs>
                <w:tab w:val="clear" w:pos="1488"/>
                <w:tab w:val="right" w:pos="3696"/>
              </w:tabs>
              <w:spacing w:before="0" w:after="0"/>
              <w:ind w:left="-42" w:firstLine="0"/>
              <w:rPr>
                <w:rStyle w:val="PageNumber"/>
                <w:szCs w:val="22"/>
              </w:rPr>
            </w:pPr>
            <w:r w:rsidRPr="001A1F53">
              <w:rPr>
                <w:rStyle w:val="PageNumber"/>
                <w:szCs w:val="22"/>
              </w:rPr>
              <w:t xml:space="preserve">09-21-12; </w:t>
            </w:r>
            <w:r w:rsidRPr="001A1F53">
              <w:rPr>
                <w:szCs w:val="22"/>
              </w:rPr>
              <w:t xml:space="preserve">06-01-08; 07-22-05; </w:t>
            </w:r>
            <w:r w:rsidRPr="001A1F53">
              <w:rPr>
                <w:rStyle w:val="PageNumber"/>
                <w:szCs w:val="22"/>
              </w:rPr>
              <w:t>0</w:t>
            </w:r>
            <w:r w:rsidRPr="001A1F53">
              <w:rPr>
                <w:szCs w:val="22"/>
              </w:rPr>
              <w:t xml:space="preserve">8-15-02; </w:t>
            </w:r>
            <w:r w:rsidRPr="001A1F53">
              <w:rPr>
                <w:rStyle w:val="PageNumber"/>
                <w:szCs w:val="22"/>
              </w:rPr>
              <w:t>0</w:t>
            </w:r>
            <w:r w:rsidRPr="001A1F53">
              <w:rPr>
                <w:szCs w:val="22"/>
              </w:rPr>
              <w:t xml:space="preserve">8-28-00; </w:t>
            </w:r>
            <w:r w:rsidRPr="001A1F53">
              <w:rPr>
                <w:rStyle w:val="PageNumber"/>
                <w:szCs w:val="22"/>
              </w:rPr>
              <w:t>10-01-96</w:t>
            </w:r>
          </w:p>
        </w:tc>
      </w:tr>
      <w:tr w:rsidR="00E8107A" w:rsidRPr="001A1F53" w14:paraId="13BD8B98" w14:textId="77777777" w:rsidTr="00482E77">
        <w:trPr>
          <w:cantSplit/>
          <w:trHeight w:val="310"/>
        </w:trPr>
        <w:tc>
          <w:tcPr>
            <w:tcW w:w="1440" w:type="dxa"/>
            <w:vMerge/>
            <w:shd w:val="clear" w:color="auto" w:fill="auto"/>
          </w:tcPr>
          <w:p w14:paraId="1B274589" w14:textId="77777777" w:rsidR="00E8107A" w:rsidRPr="001A1F53" w:rsidRDefault="00E8107A" w:rsidP="00482E77">
            <w:pPr>
              <w:tabs>
                <w:tab w:val="left" w:pos="1584"/>
                <w:tab w:val="left" w:pos="1987"/>
                <w:tab w:val="left" w:pos="2419"/>
                <w:tab w:val="left" w:pos="2851"/>
                <w:tab w:val="left" w:pos="9504"/>
              </w:tabs>
            </w:pPr>
          </w:p>
        </w:tc>
        <w:tc>
          <w:tcPr>
            <w:tcW w:w="3960" w:type="dxa"/>
            <w:vMerge/>
          </w:tcPr>
          <w:p w14:paraId="4CA34D72" w14:textId="77777777" w:rsidR="00E8107A" w:rsidRPr="001A1F53" w:rsidRDefault="00E8107A" w:rsidP="00482E77">
            <w:pPr>
              <w:pStyle w:val="HeaderHeading2"/>
              <w:rPr>
                <w:sz w:val="22"/>
                <w:szCs w:val="22"/>
              </w:rPr>
            </w:pPr>
          </w:p>
        </w:tc>
        <w:tc>
          <w:tcPr>
            <w:tcW w:w="3960" w:type="dxa"/>
            <w:vAlign w:val="center"/>
          </w:tcPr>
          <w:p w14:paraId="2FDEDC7E" w14:textId="77777777" w:rsidR="00E8107A" w:rsidRPr="001A1F53" w:rsidRDefault="00E8107A" w:rsidP="00482E77">
            <w:pPr>
              <w:pStyle w:val="PgDtBlocks"/>
              <w:tabs>
                <w:tab w:val="clear" w:pos="1488"/>
                <w:tab w:val="right" w:pos="3696"/>
              </w:tabs>
              <w:spacing w:before="0" w:after="0"/>
              <w:ind w:left="-43" w:firstLine="0"/>
              <w:rPr>
                <w:szCs w:val="22"/>
              </w:rPr>
            </w:pPr>
            <w:r w:rsidRPr="001A1F53">
              <w:rPr>
                <w:szCs w:val="22"/>
              </w:rPr>
              <w:t>Effective Date:</w:t>
            </w:r>
            <w:r w:rsidRPr="001A1F53">
              <w:rPr>
                <w:szCs w:val="22"/>
              </w:rPr>
              <w:tab/>
            </w:r>
            <w:r w:rsidRPr="001A1F53">
              <w:rPr>
                <w:color w:val="0000FF"/>
                <w:szCs w:val="22"/>
              </w:rPr>
              <w:t>xx-xx-xx</w:t>
            </w:r>
          </w:p>
        </w:tc>
      </w:tr>
      <w:tr w:rsidR="00E8107A" w:rsidRPr="001A1F53" w14:paraId="57BFACDE" w14:textId="77777777" w:rsidTr="00482E77">
        <w:trPr>
          <w:cantSplit/>
          <w:trHeight w:val="247"/>
        </w:trPr>
        <w:tc>
          <w:tcPr>
            <w:tcW w:w="1440" w:type="dxa"/>
            <w:vMerge/>
            <w:shd w:val="clear" w:color="auto" w:fill="auto"/>
          </w:tcPr>
          <w:p w14:paraId="69A0F413" w14:textId="77777777" w:rsidR="00E8107A" w:rsidRPr="001A1F53" w:rsidRDefault="00E8107A" w:rsidP="00482E77">
            <w:pPr>
              <w:tabs>
                <w:tab w:val="left" w:pos="1584"/>
                <w:tab w:val="left" w:pos="1987"/>
                <w:tab w:val="left" w:pos="2419"/>
                <w:tab w:val="left" w:pos="2851"/>
                <w:tab w:val="left" w:pos="9504"/>
              </w:tabs>
            </w:pPr>
          </w:p>
        </w:tc>
        <w:tc>
          <w:tcPr>
            <w:tcW w:w="3960" w:type="dxa"/>
            <w:vMerge/>
          </w:tcPr>
          <w:p w14:paraId="5EC05D09" w14:textId="77777777" w:rsidR="00E8107A" w:rsidRPr="001A1F53" w:rsidRDefault="00E8107A" w:rsidP="00482E77">
            <w:pPr>
              <w:pStyle w:val="HeaderHeading2"/>
              <w:rPr>
                <w:sz w:val="22"/>
                <w:szCs w:val="22"/>
              </w:rPr>
            </w:pPr>
          </w:p>
        </w:tc>
        <w:tc>
          <w:tcPr>
            <w:tcW w:w="3960" w:type="dxa"/>
            <w:vAlign w:val="center"/>
          </w:tcPr>
          <w:p w14:paraId="14BDFDD6" w14:textId="77777777" w:rsidR="00E8107A" w:rsidRPr="001A1F53" w:rsidDel="00522BE6" w:rsidRDefault="00E8107A" w:rsidP="00482E77">
            <w:pPr>
              <w:pStyle w:val="PgDtBlocks"/>
              <w:tabs>
                <w:tab w:val="clear" w:pos="1488"/>
                <w:tab w:val="right" w:pos="3696"/>
              </w:tabs>
              <w:spacing w:before="0" w:after="0"/>
              <w:ind w:left="-43" w:firstLine="0"/>
              <w:rPr>
                <w:szCs w:val="22"/>
              </w:rPr>
            </w:pPr>
            <w:r w:rsidRPr="001A1F53">
              <w:rPr>
                <w:szCs w:val="22"/>
              </w:rPr>
              <w:t>Retires Policy Dated:</w:t>
            </w:r>
            <w:r w:rsidRPr="001A1F53">
              <w:rPr>
                <w:szCs w:val="22"/>
              </w:rPr>
              <w:tab/>
            </w:r>
            <w:r w:rsidRPr="001A1F53">
              <w:rPr>
                <w:color w:val="0000FF"/>
                <w:szCs w:val="22"/>
              </w:rPr>
              <w:t>xx-xx-xx</w:t>
            </w:r>
          </w:p>
        </w:tc>
      </w:tr>
      <w:tr w:rsidR="00E8107A" w:rsidRPr="001A1F53" w14:paraId="0E9DCDA6" w14:textId="77777777" w:rsidTr="00482E77">
        <w:trPr>
          <w:cantSplit/>
          <w:trHeight w:val="190"/>
        </w:trPr>
        <w:tc>
          <w:tcPr>
            <w:tcW w:w="1440" w:type="dxa"/>
            <w:vMerge/>
            <w:shd w:val="clear" w:color="auto" w:fill="auto"/>
          </w:tcPr>
          <w:p w14:paraId="6F57AE57" w14:textId="77777777" w:rsidR="00E8107A" w:rsidRPr="001A1F53" w:rsidRDefault="00E8107A" w:rsidP="00482E77">
            <w:pPr>
              <w:tabs>
                <w:tab w:val="left" w:pos="1584"/>
                <w:tab w:val="left" w:pos="1987"/>
                <w:tab w:val="left" w:pos="2419"/>
                <w:tab w:val="left" w:pos="2851"/>
                <w:tab w:val="left" w:pos="9504"/>
              </w:tabs>
            </w:pPr>
          </w:p>
        </w:tc>
        <w:tc>
          <w:tcPr>
            <w:tcW w:w="3960" w:type="dxa"/>
            <w:vMerge/>
          </w:tcPr>
          <w:p w14:paraId="11C83CD0" w14:textId="77777777" w:rsidR="00E8107A" w:rsidRPr="001A1F53" w:rsidRDefault="00E8107A" w:rsidP="00482E77">
            <w:pPr>
              <w:pStyle w:val="HeaderHeading2"/>
              <w:rPr>
                <w:sz w:val="22"/>
                <w:szCs w:val="22"/>
              </w:rPr>
            </w:pPr>
          </w:p>
        </w:tc>
        <w:tc>
          <w:tcPr>
            <w:tcW w:w="3960" w:type="dxa"/>
            <w:vAlign w:val="center"/>
          </w:tcPr>
          <w:p w14:paraId="49D1BF1E" w14:textId="77777777" w:rsidR="00E8107A" w:rsidRPr="001A1F53" w:rsidRDefault="00E8107A" w:rsidP="00482E77">
            <w:pPr>
              <w:pStyle w:val="PgDtBlocks"/>
              <w:tabs>
                <w:tab w:val="clear" w:pos="1488"/>
                <w:tab w:val="right" w:pos="3696"/>
              </w:tabs>
              <w:spacing w:before="0" w:after="0"/>
              <w:ind w:left="-43" w:firstLine="0"/>
              <w:rPr>
                <w:szCs w:val="22"/>
              </w:rPr>
            </w:pPr>
            <w:r w:rsidRPr="001A1F53">
              <w:rPr>
                <w:szCs w:val="22"/>
              </w:rPr>
              <w:t xml:space="preserve">Previous Policy Dated: </w:t>
            </w:r>
            <w:r w:rsidRPr="001A1F53">
              <w:rPr>
                <w:szCs w:val="22"/>
              </w:rPr>
              <w:tab/>
            </w:r>
            <w:r w:rsidRPr="001A1F53">
              <w:rPr>
                <w:color w:val="0000FF"/>
                <w:szCs w:val="22"/>
              </w:rPr>
              <w:t>xx-xx-xx</w:t>
            </w:r>
          </w:p>
        </w:tc>
      </w:tr>
      <w:tr w:rsidR="00E8107A" w:rsidRPr="001A1F53" w14:paraId="6A32E57C" w14:textId="77777777" w:rsidTr="00482E77">
        <w:trPr>
          <w:cantSplit/>
          <w:trHeight w:val="184"/>
        </w:trPr>
        <w:tc>
          <w:tcPr>
            <w:tcW w:w="1440" w:type="dxa"/>
            <w:vMerge/>
            <w:shd w:val="clear" w:color="auto" w:fill="auto"/>
          </w:tcPr>
          <w:p w14:paraId="56E7146C" w14:textId="77777777" w:rsidR="00E8107A" w:rsidRPr="001A1F53" w:rsidRDefault="00E8107A" w:rsidP="00482E77">
            <w:pPr>
              <w:tabs>
                <w:tab w:val="left" w:pos="1584"/>
                <w:tab w:val="left" w:pos="1987"/>
                <w:tab w:val="left" w:pos="2419"/>
                <w:tab w:val="left" w:pos="2851"/>
                <w:tab w:val="left" w:pos="9504"/>
              </w:tabs>
            </w:pPr>
          </w:p>
        </w:tc>
        <w:tc>
          <w:tcPr>
            <w:tcW w:w="3960" w:type="dxa"/>
            <w:vMerge/>
          </w:tcPr>
          <w:p w14:paraId="7A075922" w14:textId="77777777" w:rsidR="00E8107A" w:rsidRPr="001A1F53" w:rsidRDefault="00E8107A" w:rsidP="00482E77">
            <w:pPr>
              <w:pStyle w:val="HeaderHeading2"/>
              <w:rPr>
                <w:sz w:val="22"/>
                <w:szCs w:val="22"/>
              </w:rPr>
            </w:pPr>
          </w:p>
        </w:tc>
        <w:tc>
          <w:tcPr>
            <w:tcW w:w="3960" w:type="dxa"/>
            <w:vAlign w:val="center"/>
          </w:tcPr>
          <w:p w14:paraId="06F36EC2" w14:textId="77777777" w:rsidR="00E8107A" w:rsidRPr="001A1F53" w:rsidRDefault="00E8107A" w:rsidP="00482E77">
            <w:pPr>
              <w:pStyle w:val="PgDtBlocks"/>
              <w:tabs>
                <w:tab w:val="clear" w:pos="1488"/>
                <w:tab w:val="right" w:pos="3696"/>
              </w:tabs>
              <w:spacing w:before="0" w:after="0"/>
              <w:ind w:left="-42" w:firstLine="0"/>
              <w:rPr>
                <w:szCs w:val="22"/>
              </w:rPr>
            </w:pPr>
            <w:r w:rsidRPr="001A1F53">
              <w:rPr>
                <w:szCs w:val="22"/>
              </w:rPr>
              <w:t xml:space="preserve">Medical Staff </w:t>
            </w:r>
          </w:p>
          <w:p w14:paraId="43ECB043" w14:textId="77777777" w:rsidR="00E8107A" w:rsidRPr="001A1F53" w:rsidRDefault="00E8107A" w:rsidP="00482E77">
            <w:pPr>
              <w:pStyle w:val="PgDtBlocks"/>
              <w:tabs>
                <w:tab w:val="clear" w:pos="1488"/>
                <w:tab w:val="right" w:pos="3696"/>
              </w:tabs>
              <w:spacing w:before="0" w:after="0"/>
              <w:ind w:left="-42" w:firstLine="0"/>
              <w:rPr>
                <w:szCs w:val="22"/>
              </w:rPr>
            </w:pPr>
            <w:r w:rsidRPr="001A1F53">
              <w:rPr>
                <w:szCs w:val="22"/>
              </w:rPr>
              <w:t>Approval Date:</w:t>
            </w:r>
            <w:r w:rsidRPr="001A1F53" w:rsidDel="00522BE6">
              <w:rPr>
                <w:szCs w:val="22"/>
              </w:rPr>
              <w:t xml:space="preserve"> </w:t>
            </w:r>
            <w:r w:rsidRPr="001A1F53">
              <w:rPr>
                <w:szCs w:val="22"/>
              </w:rPr>
              <w:tab/>
            </w:r>
            <w:r w:rsidRPr="001A1F53">
              <w:rPr>
                <w:color w:val="0000FF"/>
                <w:szCs w:val="22"/>
              </w:rPr>
              <w:t>xx-xx-xx</w:t>
            </w:r>
          </w:p>
        </w:tc>
      </w:tr>
      <w:tr w:rsidR="00E8107A" w:rsidRPr="001A1F53" w14:paraId="3BC96ADA" w14:textId="77777777" w:rsidTr="00482E77">
        <w:trPr>
          <w:cantSplit/>
          <w:trHeight w:val="478"/>
        </w:trPr>
        <w:tc>
          <w:tcPr>
            <w:tcW w:w="1440" w:type="dxa"/>
            <w:vMerge/>
            <w:shd w:val="clear" w:color="auto" w:fill="auto"/>
          </w:tcPr>
          <w:p w14:paraId="3D9ABC82" w14:textId="77777777" w:rsidR="00E8107A" w:rsidRPr="001A1F53" w:rsidRDefault="00E8107A" w:rsidP="00482E77">
            <w:pPr>
              <w:tabs>
                <w:tab w:val="left" w:pos="1584"/>
                <w:tab w:val="left" w:pos="1987"/>
                <w:tab w:val="left" w:pos="2419"/>
                <w:tab w:val="left" w:pos="2851"/>
                <w:tab w:val="left" w:pos="9504"/>
              </w:tabs>
            </w:pPr>
          </w:p>
        </w:tc>
        <w:tc>
          <w:tcPr>
            <w:tcW w:w="3960" w:type="dxa"/>
            <w:vMerge/>
          </w:tcPr>
          <w:p w14:paraId="743EA7BB" w14:textId="77777777" w:rsidR="00E8107A" w:rsidRPr="001A1F53" w:rsidRDefault="00E8107A" w:rsidP="00482E77">
            <w:pPr>
              <w:pStyle w:val="HeaderHeading2"/>
              <w:rPr>
                <w:sz w:val="22"/>
                <w:szCs w:val="22"/>
              </w:rPr>
            </w:pPr>
          </w:p>
        </w:tc>
        <w:tc>
          <w:tcPr>
            <w:tcW w:w="3960" w:type="dxa"/>
            <w:vAlign w:val="center"/>
          </w:tcPr>
          <w:p w14:paraId="22B5AF57" w14:textId="77777777" w:rsidR="00E8107A" w:rsidRPr="001A1F53" w:rsidRDefault="00E8107A" w:rsidP="00482E77">
            <w:pPr>
              <w:pStyle w:val="PgDtBlocks"/>
              <w:tabs>
                <w:tab w:val="clear" w:pos="1488"/>
                <w:tab w:val="right" w:pos="3108"/>
                <w:tab w:val="right" w:pos="3696"/>
              </w:tabs>
              <w:spacing w:before="0" w:after="0"/>
              <w:ind w:left="-42" w:firstLine="0"/>
              <w:rPr>
                <w:szCs w:val="22"/>
              </w:rPr>
            </w:pPr>
            <w:r w:rsidRPr="001A1F53">
              <w:rPr>
                <w:szCs w:val="22"/>
              </w:rPr>
              <w:t xml:space="preserve">Hospital Governing </w:t>
            </w:r>
          </w:p>
          <w:p w14:paraId="2F146091" w14:textId="77777777" w:rsidR="00E8107A" w:rsidRPr="001A1F53" w:rsidRDefault="00E8107A" w:rsidP="00482E77">
            <w:pPr>
              <w:pStyle w:val="PgDtBlocks"/>
              <w:tabs>
                <w:tab w:val="clear" w:pos="1488"/>
                <w:tab w:val="right" w:pos="3696"/>
              </w:tabs>
              <w:spacing w:before="0" w:after="0"/>
              <w:ind w:left="-42" w:firstLine="0"/>
              <w:rPr>
                <w:szCs w:val="22"/>
              </w:rPr>
            </w:pPr>
            <w:r w:rsidRPr="001A1F53">
              <w:rPr>
                <w:szCs w:val="22"/>
              </w:rPr>
              <w:t>Board Approval Date:</w:t>
            </w:r>
            <w:r w:rsidRPr="001A1F53">
              <w:rPr>
                <w:szCs w:val="22"/>
              </w:rPr>
              <w:tab/>
            </w:r>
            <w:r w:rsidRPr="001A1F53">
              <w:rPr>
                <w:color w:val="0000FF"/>
                <w:szCs w:val="22"/>
              </w:rPr>
              <w:t>xx-xx-xx</w:t>
            </w:r>
          </w:p>
        </w:tc>
      </w:tr>
    </w:tbl>
    <w:p w14:paraId="4A6AD449" w14:textId="03A6CF75" w:rsidR="00E8107A" w:rsidRPr="001A1F53" w:rsidRDefault="00E8107A">
      <w:pPr>
        <w:spacing w:after="0" w:line="240" w:lineRule="auto"/>
        <w:rPr>
          <w:rFonts w:ascii="Arial" w:hAnsi="Arial" w:cs="Arial"/>
        </w:rPr>
      </w:pPr>
    </w:p>
    <w:p w14:paraId="185642B3" w14:textId="77777777" w:rsidR="00E8107A" w:rsidRPr="001A1F53" w:rsidRDefault="00E8107A" w:rsidP="00E8107A">
      <w:pPr>
        <w:pStyle w:val="1BulletOutline"/>
        <w:spacing w:before="0"/>
        <w:ind w:left="720" w:hanging="720"/>
        <w:rPr>
          <w:sz w:val="22"/>
          <w:szCs w:val="22"/>
        </w:rPr>
      </w:pPr>
      <w:r w:rsidRPr="001A1F53">
        <w:rPr>
          <w:sz w:val="22"/>
          <w:szCs w:val="22"/>
        </w:rPr>
        <w:t>SCOPE:</w:t>
      </w:r>
    </w:p>
    <w:p w14:paraId="4049890C" w14:textId="77777777" w:rsidR="00E8107A" w:rsidRPr="001A1F53" w:rsidRDefault="00E8107A" w:rsidP="00E8107A">
      <w:pPr>
        <w:spacing w:before="240"/>
        <w:jc w:val="both"/>
        <w:rPr>
          <w:rStyle w:val="Strong"/>
          <w:b w:val="0"/>
        </w:rPr>
      </w:pPr>
      <w:r w:rsidRPr="001A1F53">
        <w:rPr>
          <w:rStyle w:val="Strong"/>
        </w:rPr>
        <w:t xml:space="preserve">This policy applies to </w:t>
      </w:r>
      <w:r w:rsidRPr="001A1F53">
        <w:rPr>
          <w:rStyle w:val="Strong"/>
          <w:color w:val="0000FF"/>
        </w:rPr>
        <w:t>[insert Hospital name]</w:t>
      </w:r>
      <w:r w:rsidRPr="001A1F53">
        <w:rPr>
          <w:rStyle w:val="Strong"/>
        </w:rPr>
        <w:t xml:space="preserve"> (“Hospital”), its staff, Medical Staff, patients and visitors regardless of service location or category of patient. This policy shall not be used in isolation but as a supplement to the Hospital’s overall Clinical Risk Management/Patient Safety Plan.</w:t>
      </w:r>
    </w:p>
    <w:p w14:paraId="601B57CA" w14:textId="77777777" w:rsidR="00E8107A" w:rsidRPr="001A1F53" w:rsidRDefault="00E8107A" w:rsidP="00E8107A">
      <w:pPr>
        <w:pStyle w:val="1BulletOutline"/>
        <w:tabs>
          <w:tab w:val="clear" w:pos="720"/>
        </w:tabs>
        <w:ind w:left="720" w:hanging="720"/>
        <w:rPr>
          <w:sz w:val="22"/>
          <w:szCs w:val="22"/>
        </w:rPr>
      </w:pPr>
      <w:r w:rsidRPr="001A1F53">
        <w:rPr>
          <w:sz w:val="22"/>
          <w:szCs w:val="22"/>
        </w:rPr>
        <w:t>PURPOSE:</w:t>
      </w:r>
    </w:p>
    <w:p w14:paraId="1403D6B3" w14:textId="77777777" w:rsidR="00E8107A" w:rsidRPr="001A1F53" w:rsidRDefault="00E8107A" w:rsidP="00E8107A">
      <w:pPr>
        <w:pStyle w:val="1BulletOutlinelvl2"/>
        <w:numPr>
          <w:ilvl w:val="0"/>
          <w:numId w:val="0"/>
        </w:numPr>
        <w:rPr>
          <w:sz w:val="22"/>
          <w:szCs w:val="22"/>
        </w:rPr>
      </w:pPr>
      <w:r w:rsidRPr="001A1F53">
        <w:rPr>
          <w:sz w:val="22"/>
          <w:szCs w:val="22"/>
        </w:rPr>
        <w:t>The purposes of this policy are to:</w:t>
      </w:r>
    </w:p>
    <w:p w14:paraId="72503D3B" w14:textId="77777777" w:rsidR="00E8107A" w:rsidRPr="001A1F53" w:rsidRDefault="00E8107A" w:rsidP="00E8107A">
      <w:pPr>
        <w:pStyle w:val="1BulletOutlinelvl3"/>
        <w:numPr>
          <w:ilvl w:val="0"/>
          <w:numId w:val="0"/>
        </w:numPr>
        <w:ind w:left="1440" w:hanging="720"/>
        <w:jc w:val="both"/>
        <w:rPr>
          <w:sz w:val="22"/>
          <w:szCs w:val="22"/>
        </w:rPr>
      </w:pPr>
      <w:r w:rsidRPr="001A1F53">
        <w:rPr>
          <w:sz w:val="22"/>
          <w:szCs w:val="22"/>
        </w:rPr>
        <w:t>A.</w:t>
      </w:r>
      <w:r w:rsidRPr="001A1F53">
        <w:rPr>
          <w:sz w:val="22"/>
          <w:szCs w:val="22"/>
        </w:rPr>
        <w:tab/>
        <w:t>Seek to improve patient care by reviewing and responding to Sentinel Events as set forth by The Joint Commission (TJC) Sentinel Event policy and procedures</w:t>
      </w:r>
      <w:r w:rsidRPr="001A1F53">
        <w:rPr>
          <w:rStyle w:val="FootnoteReference"/>
          <w:sz w:val="22"/>
          <w:szCs w:val="22"/>
        </w:rPr>
        <w:footnoteReference w:id="1"/>
      </w:r>
      <w:r w:rsidRPr="001A1F53">
        <w:rPr>
          <w:sz w:val="22"/>
          <w:szCs w:val="22"/>
        </w:rPr>
        <w:t xml:space="preserve"> (see </w:t>
      </w:r>
      <w:hyperlink r:id="rId8" w:history="1">
        <w:r w:rsidRPr="001A1F53">
          <w:rPr>
            <w:rStyle w:val="Hyperlink"/>
            <w:sz w:val="22"/>
            <w:szCs w:val="22"/>
          </w:rPr>
          <w:t>CO-2.010.01</w:t>
        </w:r>
      </w:hyperlink>
      <w:r w:rsidRPr="001A1F53">
        <w:rPr>
          <w:sz w:val="22"/>
          <w:szCs w:val="22"/>
        </w:rPr>
        <w:t xml:space="preserve">); </w:t>
      </w:r>
    </w:p>
    <w:p w14:paraId="0B4A0715" w14:textId="77777777" w:rsidR="00E8107A" w:rsidRPr="001A1F53" w:rsidRDefault="00E8107A" w:rsidP="00E8107A">
      <w:pPr>
        <w:pStyle w:val="1BulletOutlinelvl3"/>
        <w:numPr>
          <w:ilvl w:val="0"/>
          <w:numId w:val="0"/>
        </w:numPr>
        <w:ind w:left="1440" w:hanging="720"/>
        <w:jc w:val="both"/>
        <w:rPr>
          <w:sz w:val="22"/>
          <w:szCs w:val="22"/>
        </w:rPr>
      </w:pPr>
      <w:r w:rsidRPr="001A1F53">
        <w:rPr>
          <w:sz w:val="22"/>
          <w:szCs w:val="22"/>
        </w:rPr>
        <w:t>B.</w:t>
      </w:r>
      <w:r w:rsidRPr="001A1F53">
        <w:rPr>
          <w:sz w:val="22"/>
          <w:szCs w:val="22"/>
        </w:rPr>
        <w:tab/>
        <w:t xml:space="preserve">Support the improvement of patient safety and quality improvement initiatives by complying with the state-mandated reporting requirements; Hospital will work with Regional Counsel to update policy against state reporting requirements annually (see </w:t>
      </w:r>
      <w:hyperlink r:id="rId9" w:history="1">
        <w:r w:rsidRPr="001A1F53">
          <w:rPr>
            <w:rStyle w:val="Hyperlink"/>
            <w:sz w:val="22"/>
            <w:szCs w:val="22"/>
          </w:rPr>
          <w:t>CO-2.010.02</w:t>
        </w:r>
      </w:hyperlink>
      <w:r w:rsidRPr="001A1F53">
        <w:rPr>
          <w:sz w:val="22"/>
          <w:szCs w:val="22"/>
        </w:rPr>
        <w:t xml:space="preserve">); </w:t>
      </w:r>
    </w:p>
    <w:p w14:paraId="31FE73D7" w14:textId="77777777" w:rsidR="00E8107A" w:rsidRPr="001A1F53" w:rsidRDefault="00E8107A" w:rsidP="00E8107A">
      <w:pPr>
        <w:pStyle w:val="1BulletOutlinelvl3"/>
        <w:numPr>
          <w:ilvl w:val="0"/>
          <w:numId w:val="0"/>
        </w:numPr>
        <w:ind w:left="1440" w:hanging="720"/>
        <w:jc w:val="both"/>
        <w:rPr>
          <w:sz w:val="22"/>
          <w:szCs w:val="22"/>
        </w:rPr>
      </w:pPr>
      <w:r w:rsidRPr="001A1F53">
        <w:rPr>
          <w:sz w:val="22"/>
          <w:szCs w:val="22"/>
        </w:rPr>
        <w:t>C.</w:t>
      </w:r>
      <w:r w:rsidRPr="001A1F53">
        <w:rPr>
          <w:sz w:val="22"/>
          <w:szCs w:val="22"/>
        </w:rPr>
        <w:tab/>
        <w:t>Support patient safety improvement by reviewing any event which meets the description of any one of the National Quality Forum (NQF) Safe Practices</w:t>
      </w:r>
      <w:r w:rsidRPr="001A1F53">
        <w:rPr>
          <w:sz w:val="22"/>
          <w:szCs w:val="22"/>
          <w:vertAlign w:val="superscript"/>
        </w:rPr>
        <w:footnoteReference w:id="2"/>
      </w:r>
      <w:r w:rsidRPr="001A1F53">
        <w:rPr>
          <w:sz w:val="22"/>
          <w:szCs w:val="22"/>
        </w:rPr>
        <w:t xml:space="preserve"> (see </w:t>
      </w:r>
      <w:hyperlink r:id="rId10" w:history="1">
        <w:r w:rsidRPr="001A1F53">
          <w:rPr>
            <w:rStyle w:val="Hyperlink"/>
            <w:sz w:val="22"/>
            <w:szCs w:val="22"/>
          </w:rPr>
          <w:t>CO-2.010.01</w:t>
        </w:r>
      </w:hyperlink>
      <w:r w:rsidRPr="001A1F53">
        <w:rPr>
          <w:sz w:val="22"/>
          <w:szCs w:val="22"/>
        </w:rPr>
        <w:t>); and</w:t>
      </w:r>
    </w:p>
    <w:p w14:paraId="09AED653" w14:textId="77777777" w:rsidR="00E8107A" w:rsidRPr="001A1F53" w:rsidRDefault="00E8107A" w:rsidP="00E8107A">
      <w:pPr>
        <w:pStyle w:val="1BulletOutlinelvl3"/>
        <w:numPr>
          <w:ilvl w:val="0"/>
          <w:numId w:val="0"/>
        </w:numPr>
        <w:ind w:left="1440" w:hanging="720"/>
        <w:jc w:val="both"/>
        <w:rPr>
          <w:sz w:val="22"/>
          <w:szCs w:val="22"/>
        </w:rPr>
      </w:pPr>
      <w:r w:rsidRPr="001A1F53">
        <w:rPr>
          <w:sz w:val="22"/>
          <w:szCs w:val="22"/>
        </w:rPr>
        <w:t>D.</w:t>
      </w:r>
      <w:r w:rsidRPr="001A1F53">
        <w:rPr>
          <w:sz w:val="22"/>
          <w:szCs w:val="22"/>
        </w:rPr>
        <w:tab/>
        <w:t>Evaluate all TJC reviewable Sentinel Events with Home Office Senior Director of Quality Management and Corporate Regulatory Counsel to determine if a voluntary report shall be made to TJC.</w:t>
      </w:r>
    </w:p>
    <w:p w14:paraId="1360F21E" w14:textId="77777777" w:rsidR="00E8107A" w:rsidRPr="001A1F53" w:rsidRDefault="00E8107A" w:rsidP="00E8107A">
      <w:pPr>
        <w:pStyle w:val="1BulletOutlinelvl3"/>
        <w:numPr>
          <w:ilvl w:val="0"/>
          <w:numId w:val="0"/>
        </w:numPr>
        <w:ind w:left="720" w:hanging="720"/>
        <w:jc w:val="both"/>
        <w:rPr>
          <w:b/>
          <w:sz w:val="22"/>
          <w:szCs w:val="22"/>
        </w:rPr>
      </w:pPr>
      <w:r w:rsidRPr="001A1F53">
        <w:rPr>
          <w:b/>
          <w:sz w:val="22"/>
          <w:szCs w:val="22"/>
        </w:rPr>
        <w:t>III.</w:t>
      </w:r>
      <w:r w:rsidRPr="001A1F53">
        <w:rPr>
          <w:b/>
          <w:sz w:val="22"/>
          <w:szCs w:val="22"/>
        </w:rPr>
        <w:tab/>
        <w:t>DEFINITIONS:</w:t>
      </w:r>
    </w:p>
    <w:p w14:paraId="093512B6" w14:textId="77777777" w:rsidR="00E8107A" w:rsidRPr="001A1F53" w:rsidRDefault="00E8107A" w:rsidP="00E8107A">
      <w:pPr>
        <w:pStyle w:val="1BulletOutlinelvl2"/>
        <w:numPr>
          <w:ilvl w:val="1"/>
          <w:numId w:val="13"/>
        </w:numPr>
        <w:tabs>
          <w:tab w:val="clear" w:pos="1066"/>
          <w:tab w:val="num" w:pos="1440"/>
        </w:tabs>
        <w:ind w:left="1440" w:hanging="720"/>
        <w:jc w:val="both"/>
        <w:rPr>
          <w:sz w:val="22"/>
          <w:szCs w:val="22"/>
        </w:rPr>
      </w:pPr>
      <w:r w:rsidRPr="001A1F53">
        <w:rPr>
          <w:sz w:val="22"/>
          <w:szCs w:val="22"/>
        </w:rPr>
        <w:t>“</w:t>
      </w:r>
      <w:r w:rsidRPr="001A1F53">
        <w:rPr>
          <w:b/>
          <w:sz w:val="22"/>
          <w:szCs w:val="22"/>
        </w:rPr>
        <w:t>Adverse Event</w:t>
      </w:r>
      <w:r w:rsidRPr="001A1F53">
        <w:rPr>
          <w:sz w:val="22"/>
          <w:szCs w:val="22"/>
        </w:rPr>
        <w:t>” means an untoward incident, therapeutic misadventure, iatrogenic injury or other unexpected event with the potential for harm that may meet the definition of a Sentinel Event and is directly associated with the care or services provided within the Hospital.</w:t>
      </w:r>
    </w:p>
    <w:p w14:paraId="541B913B" w14:textId="77777777" w:rsidR="00E8107A" w:rsidRPr="001A1F53" w:rsidRDefault="00E8107A" w:rsidP="00E8107A">
      <w:pPr>
        <w:pStyle w:val="1BulletOutlinelvl2"/>
        <w:tabs>
          <w:tab w:val="clear" w:pos="1066"/>
          <w:tab w:val="num" w:pos="1440"/>
        </w:tabs>
        <w:ind w:left="1440" w:hanging="720"/>
        <w:jc w:val="both"/>
        <w:rPr>
          <w:b/>
          <w:sz w:val="22"/>
          <w:szCs w:val="22"/>
        </w:rPr>
      </w:pPr>
      <w:r w:rsidRPr="001A1F53">
        <w:rPr>
          <w:sz w:val="22"/>
          <w:szCs w:val="22"/>
        </w:rPr>
        <w:t>“</w:t>
      </w:r>
      <w:r w:rsidRPr="001A1F53">
        <w:rPr>
          <w:b/>
          <w:sz w:val="22"/>
          <w:szCs w:val="22"/>
        </w:rPr>
        <w:t>Anticipated Outcome</w:t>
      </w:r>
      <w:r w:rsidRPr="001A1F53">
        <w:rPr>
          <w:sz w:val="22"/>
          <w:szCs w:val="22"/>
        </w:rPr>
        <w:t>”</w:t>
      </w:r>
      <w:r w:rsidRPr="001A1F53">
        <w:rPr>
          <w:b/>
          <w:sz w:val="22"/>
          <w:szCs w:val="22"/>
        </w:rPr>
        <w:t xml:space="preserve"> </w:t>
      </w:r>
      <w:r w:rsidRPr="001A1F53">
        <w:rPr>
          <w:sz w:val="22"/>
          <w:szCs w:val="22"/>
        </w:rPr>
        <w:t xml:space="preserve">means the outcome expected from a diagnostic or therapeutic intervention or lack of intervention. This includes the known risks of a treatment or </w:t>
      </w:r>
      <w:r w:rsidRPr="001A1F53">
        <w:rPr>
          <w:sz w:val="22"/>
          <w:szCs w:val="22"/>
        </w:rPr>
        <w:lastRenderedPageBreak/>
        <w:t>procedure. Anticipated outcomes, including potential adverse anticipated outcomes, such as known risks, shall be disclosed as part of informed consent and ongoing communication by the provider performing the procedure.</w:t>
      </w:r>
    </w:p>
    <w:p w14:paraId="409F585B" w14:textId="77777777" w:rsidR="00E8107A" w:rsidRPr="001A1F53" w:rsidRDefault="00E8107A" w:rsidP="00E8107A">
      <w:pPr>
        <w:pStyle w:val="1BulletOutlinelvl2"/>
        <w:tabs>
          <w:tab w:val="clear" w:pos="1066"/>
          <w:tab w:val="num" w:pos="1440"/>
        </w:tabs>
        <w:ind w:left="1440" w:hanging="720"/>
        <w:jc w:val="both"/>
        <w:rPr>
          <w:b/>
          <w:sz w:val="22"/>
          <w:szCs w:val="22"/>
        </w:rPr>
      </w:pPr>
      <w:r w:rsidRPr="001A1F53">
        <w:rPr>
          <w:sz w:val="22"/>
          <w:szCs w:val="22"/>
        </w:rPr>
        <w:t>“</w:t>
      </w:r>
      <w:r w:rsidRPr="001A1F53">
        <w:rPr>
          <w:b/>
          <w:sz w:val="22"/>
          <w:szCs w:val="22"/>
        </w:rPr>
        <w:t>Care Associated with a Preventable Event</w:t>
      </w:r>
      <w:r w:rsidRPr="001A1F53">
        <w:rPr>
          <w:sz w:val="22"/>
          <w:szCs w:val="22"/>
        </w:rPr>
        <w:t>”</w:t>
      </w:r>
      <w:r w:rsidRPr="001A1F53">
        <w:rPr>
          <w:b/>
          <w:sz w:val="22"/>
          <w:szCs w:val="22"/>
        </w:rPr>
        <w:t xml:space="preserve"> </w:t>
      </w:r>
      <w:r w:rsidRPr="001A1F53">
        <w:rPr>
          <w:sz w:val="22"/>
          <w:szCs w:val="22"/>
        </w:rPr>
        <w:t>refers to the care directly related to provider error or process failure which resulted in a Preventable Event with Permanent, Severe Temporary, or Temporary Harm.</w:t>
      </w:r>
    </w:p>
    <w:p w14:paraId="3C0D5F52" w14:textId="77777777" w:rsidR="00E8107A" w:rsidRPr="001A1F53" w:rsidRDefault="00E8107A" w:rsidP="00E8107A">
      <w:pPr>
        <w:pStyle w:val="1BulletOutlinelvl2"/>
        <w:tabs>
          <w:tab w:val="clear" w:pos="1066"/>
          <w:tab w:val="num" w:pos="1440"/>
        </w:tabs>
        <w:ind w:left="1440" w:hanging="720"/>
        <w:jc w:val="both"/>
        <w:rPr>
          <w:b/>
          <w:sz w:val="22"/>
          <w:szCs w:val="22"/>
        </w:rPr>
      </w:pPr>
      <w:r w:rsidRPr="001A1F53">
        <w:rPr>
          <w:sz w:val="22"/>
          <w:szCs w:val="22"/>
        </w:rPr>
        <w:t>“</w:t>
      </w:r>
      <w:r w:rsidRPr="001A1F53">
        <w:rPr>
          <w:b/>
          <w:sz w:val="22"/>
          <w:szCs w:val="22"/>
        </w:rPr>
        <w:t>Disclosure</w:t>
      </w:r>
      <w:r w:rsidRPr="001A1F53">
        <w:rPr>
          <w:sz w:val="22"/>
          <w:szCs w:val="22"/>
        </w:rPr>
        <w:t>”</w:t>
      </w:r>
      <w:r w:rsidRPr="001A1F53">
        <w:rPr>
          <w:b/>
          <w:sz w:val="22"/>
          <w:szCs w:val="22"/>
        </w:rPr>
        <w:t xml:space="preserve"> </w:t>
      </w:r>
      <w:r w:rsidRPr="001A1F53">
        <w:rPr>
          <w:sz w:val="22"/>
          <w:szCs w:val="22"/>
        </w:rPr>
        <w:t>means the communication of information regarding the outcome of diagnostic tests, medical treatment, or surgical intervention to a patient and, when appropriate, their families about outcomes of care, including preventable events resulting in harm/errors.</w:t>
      </w:r>
    </w:p>
    <w:p w14:paraId="680E9278" w14:textId="77777777" w:rsidR="00E8107A" w:rsidRPr="001A1F53" w:rsidRDefault="00E8107A" w:rsidP="00E8107A">
      <w:pPr>
        <w:pStyle w:val="1BulletOutlinelvl2"/>
        <w:tabs>
          <w:tab w:val="clear" w:pos="1066"/>
          <w:tab w:val="num" w:pos="1440"/>
        </w:tabs>
        <w:ind w:left="1440" w:hanging="720"/>
        <w:jc w:val="both"/>
        <w:rPr>
          <w:b/>
          <w:sz w:val="22"/>
          <w:szCs w:val="22"/>
        </w:rPr>
      </w:pPr>
      <w:r w:rsidRPr="001A1F53">
        <w:rPr>
          <w:sz w:val="22"/>
          <w:szCs w:val="22"/>
        </w:rPr>
        <w:t>“</w:t>
      </w:r>
      <w:r w:rsidRPr="001A1F53">
        <w:rPr>
          <w:b/>
          <w:sz w:val="22"/>
          <w:szCs w:val="22"/>
        </w:rPr>
        <w:t>Error</w:t>
      </w:r>
      <w:r w:rsidRPr="001A1F53">
        <w:rPr>
          <w:sz w:val="22"/>
          <w:szCs w:val="22"/>
        </w:rPr>
        <w:t>,” as defined by</w:t>
      </w:r>
      <w:r w:rsidRPr="001A1F53">
        <w:rPr>
          <w:b/>
          <w:sz w:val="22"/>
          <w:szCs w:val="22"/>
        </w:rPr>
        <w:t xml:space="preserve"> </w:t>
      </w:r>
      <w:r w:rsidRPr="001A1F53">
        <w:rPr>
          <w:sz w:val="22"/>
          <w:szCs w:val="22"/>
        </w:rPr>
        <w:t xml:space="preserve">The Institute of Medicine in 2001, means a failure of a planned action to be completed as intended. Errors are unintended, undesirable, and result from a defect or failure of a diagnostic, therapeutic, or supportive process, at any point in the continuum of care. Errors may be either human or technological. An error may or may not have a negative outcome. Errors may be acts of commission or omission. Many errors are seen as “system” failures, even when it may appear that a single person or device is at fault. Errors shall be reported by using the Patient Safety Reporting System (PSRS) if they : </w:t>
      </w:r>
    </w:p>
    <w:p w14:paraId="121602F4" w14:textId="77777777" w:rsidR="00E8107A" w:rsidRPr="001A1F53" w:rsidRDefault="00E8107A" w:rsidP="00E8107A">
      <w:pPr>
        <w:pStyle w:val="EndnoteText"/>
        <w:numPr>
          <w:ilvl w:val="0"/>
          <w:numId w:val="7"/>
        </w:numPr>
        <w:tabs>
          <w:tab w:val="clear" w:pos="1440"/>
        </w:tabs>
        <w:spacing w:before="240"/>
        <w:ind w:left="2160" w:hanging="720"/>
        <w:jc w:val="both"/>
        <w:rPr>
          <w:sz w:val="22"/>
          <w:szCs w:val="22"/>
        </w:rPr>
      </w:pPr>
      <w:r w:rsidRPr="001A1F53">
        <w:rPr>
          <w:sz w:val="22"/>
          <w:szCs w:val="22"/>
        </w:rPr>
        <w:t xml:space="preserve">Require a significant change in further diagnosis or treatment; </w:t>
      </w:r>
    </w:p>
    <w:p w14:paraId="717BF9B1" w14:textId="77777777" w:rsidR="00E8107A" w:rsidRPr="001A1F53" w:rsidRDefault="00E8107A" w:rsidP="00E8107A">
      <w:pPr>
        <w:pStyle w:val="EndnoteText"/>
        <w:numPr>
          <w:ilvl w:val="0"/>
          <w:numId w:val="7"/>
        </w:numPr>
        <w:tabs>
          <w:tab w:val="clear" w:pos="1440"/>
        </w:tabs>
        <w:spacing w:before="240"/>
        <w:ind w:left="2160" w:hanging="720"/>
        <w:jc w:val="both"/>
        <w:rPr>
          <w:sz w:val="22"/>
          <w:szCs w:val="22"/>
        </w:rPr>
      </w:pPr>
      <w:r w:rsidRPr="001A1F53">
        <w:rPr>
          <w:sz w:val="22"/>
          <w:szCs w:val="22"/>
        </w:rPr>
        <w:t>Lead to initial or prolonged hospitalization;</w:t>
      </w:r>
    </w:p>
    <w:p w14:paraId="3C26FE33" w14:textId="77777777" w:rsidR="00E8107A" w:rsidRPr="001A1F53" w:rsidRDefault="00E8107A" w:rsidP="00E8107A">
      <w:pPr>
        <w:pStyle w:val="EndnoteText"/>
        <w:numPr>
          <w:ilvl w:val="0"/>
          <w:numId w:val="7"/>
        </w:numPr>
        <w:tabs>
          <w:tab w:val="clear" w:pos="1440"/>
        </w:tabs>
        <w:spacing w:before="240"/>
        <w:ind w:left="2160" w:hanging="720"/>
        <w:jc w:val="both"/>
        <w:rPr>
          <w:sz w:val="22"/>
          <w:szCs w:val="22"/>
        </w:rPr>
      </w:pPr>
      <w:r w:rsidRPr="001A1F53">
        <w:rPr>
          <w:sz w:val="22"/>
          <w:szCs w:val="22"/>
        </w:rPr>
        <w:t xml:space="preserve">Are life threatening; </w:t>
      </w:r>
    </w:p>
    <w:p w14:paraId="3EF2D0F4" w14:textId="77777777" w:rsidR="00E8107A" w:rsidRPr="001A1F53" w:rsidRDefault="00E8107A" w:rsidP="00E8107A">
      <w:pPr>
        <w:pStyle w:val="EndnoteText"/>
        <w:numPr>
          <w:ilvl w:val="0"/>
          <w:numId w:val="7"/>
        </w:numPr>
        <w:tabs>
          <w:tab w:val="clear" w:pos="1440"/>
        </w:tabs>
        <w:spacing w:before="240"/>
        <w:ind w:left="2160" w:hanging="720"/>
        <w:jc w:val="both"/>
        <w:rPr>
          <w:sz w:val="22"/>
          <w:szCs w:val="22"/>
        </w:rPr>
      </w:pPr>
      <w:r w:rsidRPr="001A1F53">
        <w:rPr>
          <w:sz w:val="22"/>
          <w:szCs w:val="22"/>
        </w:rPr>
        <w:t xml:space="preserve">Result in disability, death, significant cognitive impairment, or congenital abnormality. </w:t>
      </w:r>
    </w:p>
    <w:p w14:paraId="04470619" w14:textId="77777777" w:rsidR="00E8107A" w:rsidRPr="001A1F53" w:rsidRDefault="00E8107A" w:rsidP="00E8107A">
      <w:pPr>
        <w:pStyle w:val="1BulletOutlinelvl2"/>
        <w:tabs>
          <w:tab w:val="clear" w:pos="1066"/>
          <w:tab w:val="num" w:pos="1440"/>
        </w:tabs>
        <w:ind w:left="1440" w:hanging="720"/>
        <w:jc w:val="both"/>
        <w:rPr>
          <w:sz w:val="22"/>
          <w:szCs w:val="22"/>
        </w:rPr>
      </w:pPr>
      <w:r w:rsidRPr="001A1F53">
        <w:rPr>
          <w:sz w:val="22"/>
          <w:szCs w:val="22"/>
        </w:rPr>
        <w:t>“</w:t>
      </w:r>
      <w:r w:rsidRPr="001A1F53">
        <w:rPr>
          <w:b/>
          <w:sz w:val="22"/>
          <w:szCs w:val="22"/>
        </w:rPr>
        <w:t>Event Report</w:t>
      </w:r>
      <w:r w:rsidRPr="001A1F53">
        <w:rPr>
          <w:sz w:val="22"/>
          <w:szCs w:val="22"/>
        </w:rPr>
        <w:t>”</w:t>
      </w:r>
      <w:r w:rsidRPr="001A1F53">
        <w:rPr>
          <w:b/>
          <w:sz w:val="22"/>
          <w:szCs w:val="22"/>
        </w:rPr>
        <w:t xml:space="preserve"> </w:t>
      </w:r>
      <w:r w:rsidRPr="001A1F53">
        <w:rPr>
          <w:sz w:val="22"/>
          <w:szCs w:val="22"/>
        </w:rPr>
        <w:t xml:space="preserve">means an event report that is completed to document an adverse event or near miss event in the PSRS. </w:t>
      </w:r>
    </w:p>
    <w:p w14:paraId="33C19E50" w14:textId="77777777" w:rsidR="00E8107A" w:rsidRPr="001A1F53" w:rsidRDefault="00E8107A" w:rsidP="00E8107A">
      <w:pPr>
        <w:pStyle w:val="1BulletOutlinelvl2"/>
        <w:tabs>
          <w:tab w:val="clear" w:pos="1066"/>
          <w:tab w:val="num" w:pos="1440"/>
        </w:tabs>
        <w:ind w:left="1440" w:hanging="720"/>
        <w:jc w:val="both"/>
        <w:rPr>
          <w:sz w:val="22"/>
          <w:szCs w:val="22"/>
        </w:rPr>
      </w:pPr>
      <w:r w:rsidRPr="001A1F53">
        <w:rPr>
          <w:sz w:val="22"/>
          <w:szCs w:val="22"/>
        </w:rPr>
        <w:t>“</w:t>
      </w:r>
      <w:r w:rsidRPr="001A1F53">
        <w:rPr>
          <w:b/>
          <w:sz w:val="22"/>
          <w:szCs w:val="22"/>
        </w:rPr>
        <w:t>Hospital staff</w:t>
      </w:r>
      <w:r w:rsidRPr="001A1F53">
        <w:rPr>
          <w:sz w:val="22"/>
          <w:szCs w:val="22"/>
        </w:rPr>
        <w:t>” means the Hospital’s employees, agency staff, contractors and volunteers.</w:t>
      </w:r>
    </w:p>
    <w:p w14:paraId="25E32381" w14:textId="77777777" w:rsidR="00E8107A" w:rsidRPr="001A1F53" w:rsidRDefault="00E8107A" w:rsidP="00E8107A">
      <w:pPr>
        <w:pStyle w:val="1BulletOutlinelvl2"/>
        <w:tabs>
          <w:tab w:val="clear" w:pos="1066"/>
          <w:tab w:val="num" w:pos="1440"/>
        </w:tabs>
        <w:ind w:left="1440" w:hanging="720"/>
        <w:jc w:val="both"/>
        <w:rPr>
          <w:sz w:val="22"/>
          <w:szCs w:val="22"/>
        </w:rPr>
      </w:pPr>
      <w:r w:rsidRPr="001A1F53">
        <w:rPr>
          <w:sz w:val="22"/>
          <w:szCs w:val="22"/>
        </w:rPr>
        <w:t>“</w:t>
      </w:r>
      <w:r w:rsidRPr="001A1F53">
        <w:rPr>
          <w:b/>
          <w:sz w:val="22"/>
          <w:szCs w:val="22"/>
        </w:rPr>
        <w:t xml:space="preserve">Intense </w:t>
      </w:r>
      <w:r w:rsidRPr="001A1F53">
        <w:rPr>
          <w:sz w:val="22"/>
          <w:szCs w:val="22"/>
        </w:rPr>
        <w:t>A</w:t>
      </w:r>
      <w:r w:rsidRPr="001A1F53">
        <w:rPr>
          <w:b/>
          <w:sz w:val="22"/>
          <w:szCs w:val="22"/>
        </w:rPr>
        <w:t>nalysis</w:t>
      </w:r>
      <w:r w:rsidRPr="001A1F53">
        <w:rPr>
          <w:sz w:val="22"/>
          <w:szCs w:val="22"/>
        </w:rPr>
        <w:t xml:space="preserve">” means the review process by which all Adverse Events undergo. When events do not meet Sentinel Event criteria for Root Cause Analysis, Intense Analyses can be completed on those events using the Intense Analysis formats available (see Conducting a Root Cause Analysis (RCA) procedure </w:t>
      </w:r>
      <w:hyperlink r:id="rId11" w:history="1">
        <w:r w:rsidRPr="001A1F53">
          <w:rPr>
            <w:rStyle w:val="Hyperlink"/>
            <w:sz w:val="22"/>
            <w:szCs w:val="22"/>
          </w:rPr>
          <w:t>CO-2.010.03</w:t>
        </w:r>
      </w:hyperlink>
      <w:r w:rsidRPr="001A1F53">
        <w:rPr>
          <w:sz w:val="22"/>
          <w:szCs w:val="22"/>
        </w:rPr>
        <w:t>). Intense assessments shall be conducted in accordance with state peer review, quality assurance, performance improvement or other state statute.</w:t>
      </w:r>
    </w:p>
    <w:p w14:paraId="15D5C76F" w14:textId="77777777" w:rsidR="00E8107A" w:rsidRPr="001A1F53" w:rsidRDefault="00E8107A" w:rsidP="00E8107A">
      <w:pPr>
        <w:pStyle w:val="1BulletOutlinelvl2"/>
        <w:tabs>
          <w:tab w:val="clear" w:pos="1066"/>
          <w:tab w:val="num" w:pos="1440"/>
        </w:tabs>
        <w:ind w:left="1440" w:hanging="720"/>
        <w:jc w:val="both"/>
        <w:rPr>
          <w:sz w:val="22"/>
          <w:szCs w:val="22"/>
        </w:rPr>
      </w:pPr>
      <w:r w:rsidRPr="001A1F53">
        <w:rPr>
          <w:sz w:val="22"/>
          <w:szCs w:val="22"/>
        </w:rPr>
        <w:t>“</w:t>
      </w:r>
      <w:r w:rsidRPr="001A1F53">
        <w:rPr>
          <w:b/>
          <w:sz w:val="22"/>
          <w:szCs w:val="22"/>
        </w:rPr>
        <w:t>Near Miss</w:t>
      </w:r>
      <w:r w:rsidRPr="001A1F53">
        <w:rPr>
          <w:sz w:val="22"/>
          <w:szCs w:val="22"/>
        </w:rPr>
        <w:t>” means any event with process variation if reoccurrences would carry a significant chance of a serious adverse outcome.</w:t>
      </w:r>
    </w:p>
    <w:p w14:paraId="4550B04F" w14:textId="77777777" w:rsidR="00E8107A" w:rsidRPr="001A1F53" w:rsidRDefault="00E8107A" w:rsidP="00E8107A">
      <w:pPr>
        <w:pStyle w:val="1BulletOutlinelvl2"/>
        <w:tabs>
          <w:tab w:val="clear" w:pos="1066"/>
          <w:tab w:val="num" w:pos="1440"/>
        </w:tabs>
        <w:ind w:left="1440" w:hanging="720"/>
        <w:jc w:val="both"/>
        <w:rPr>
          <w:sz w:val="22"/>
          <w:szCs w:val="22"/>
        </w:rPr>
      </w:pPr>
      <w:r w:rsidRPr="001A1F53">
        <w:rPr>
          <w:sz w:val="22"/>
          <w:szCs w:val="22"/>
        </w:rPr>
        <w:t>“</w:t>
      </w:r>
      <w:r w:rsidRPr="001A1F53">
        <w:rPr>
          <w:b/>
          <w:sz w:val="22"/>
          <w:szCs w:val="22"/>
        </w:rPr>
        <w:t>Outcome of Care</w:t>
      </w:r>
      <w:r w:rsidRPr="001A1F53">
        <w:rPr>
          <w:sz w:val="22"/>
          <w:szCs w:val="22"/>
        </w:rPr>
        <w:t>”</w:t>
      </w:r>
      <w:r w:rsidRPr="001A1F53">
        <w:rPr>
          <w:b/>
          <w:sz w:val="22"/>
          <w:szCs w:val="22"/>
        </w:rPr>
        <w:t xml:space="preserve"> </w:t>
      </w:r>
      <w:r w:rsidRPr="001A1F53">
        <w:rPr>
          <w:sz w:val="22"/>
          <w:szCs w:val="22"/>
        </w:rPr>
        <w:t>means the result of the performance (or non-performance) of a diagnostic or therapeutic process. Outcomes may be preventable or unpreventable.</w:t>
      </w:r>
    </w:p>
    <w:p w14:paraId="4388AF60" w14:textId="77777777" w:rsidR="00E8107A" w:rsidRPr="001A1F53" w:rsidRDefault="00E8107A" w:rsidP="00E8107A">
      <w:pPr>
        <w:pStyle w:val="1BulletOutlinelvl2"/>
        <w:tabs>
          <w:tab w:val="clear" w:pos="1066"/>
          <w:tab w:val="num" w:pos="1440"/>
        </w:tabs>
        <w:ind w:left="1440" w:hanging="720"/>
        <w:jc w:val="both"/>
        <w:rPr>
          <w:sz w:val="22"/>
          <w:szCs w:val="22"/>
        </w:rPr>
      </w:pPr>
      <w:r w:rsidRPr="001A1F53">
        <w:rPr>
          <w:sz w:val="22"/>
          <w:szCs w:val="22"/>
        </w:rPr>
        <w:t>“</w:t>
      </w:r>
      <w:r w:rsidRPr="001A1F53">
        <w:rPr>
          <w:b/>
          <w:sz w:val="22"/>
          <w:szCs w:val="22"/>
        </w:rPr>
        <w:t>Preventable Event</w:t>
      </w:r>
      <w:r w:rsidRPr="001A1F53">
        <w:rPr>
          <w:sz w:val="22"/>
          <w:szCs w:val="22"/>
        </w:rPr>
        <w:t xml:space="preserve">” means an outcome that differs significantly from the anticipated result of a treatment or procedure. A Preventable Event resulting in harm associated with the performance of a treatment or procedure may be negative or positive. Negative Preventable Events resulting in harm are usually considered adverse events. They are </w:t>
      </w:r>
      <w:r w:rsidRPr="001A1F53">
        <w:rPr>
          <w:sz w:val="22"/>
          <w:szCs w:val="22"/>
        </w:rPr>
        <w:lastRenderedPageBreak/>
        <w:t>usually with an error (American Society for Healthcare Risk Management), and they are not necessarily the result of negligence. A Preventable Event resulting in harm may or may not be considered a reviewable Sentinel Event. Known risks without errors that are common to a procedure do not constitute a Preventable Event resulting in harm or error. Most Preventable Events resulting in harm shall be discussed with the patient; however, those that do not harm the patient and that do not impact current or future patient health care decisions do not need to be disclosed but may be disclosed at the discretion of the responsible health care professional. Preventable Events resulting in harm may involve Hospital staff or physician error in delivery of care and result in patient temporary or significant harm.</w:t>
      </w:r>
    </w:p>
    <w:p w14:paraId="6DBCC632" w14:textId="77777777" w:rsidR="00E8107A" w:rsidRPr="001A1F53" w:rsidRDefault="00E8107A" w:rsidP="00E8107A">
      <w:pPr>
        <w:pStyle w:val="1BulletOutlinelvl2"/>
        <w:tabs>
          <w:tab w:val="clear" w:pos="1066"/>
          <w:tab w:val="num" w:pos="1440"/>
        </w:tabs>
        <w:ind w:left="1440" w:hanging="720"/>
        <w:jc w:val="both"/>
        <w:rPr>
          <w:sz w:val="22"/>
          <w:szCs w:val="22"/>
        </w:rPr>
      </w:pPr>
      <w:r w:rsidRPr="001A1F53">
        <w:rPr>
          <w:sz w:val="22"/>
          <w:szCs w:val="22"/>
        </w:rPr>
        <w:t>“</w:t>
      </w:r>
      <w:r w:rsidRPr="001A1F53">
        <w:rPr>
          <w:b/>
          <w:sz w:val="22"/>
          <w:szCs w:val="22"/>
        </w:rPr>
        <w:t>Root Cause Analysis</w:t>
      </w:r>
      <w:r w:rsidRPr="001A1F53">
        <w:rPr>
          <w:sz w:val="22"/>
          <w:szCs w:val="22"/>
        </w:rPr>
        <w:t xml:space="preserve">” means a process for identifying the base or contributing causal factors that underlie variations in performance associated with Adverse Events, Sentinel Events or Near Misses (see </w:t>
      </w:r>
      <w:hyperlink r:id="rId12" w:history="1">
        <w:r w:rsidRPr="001A1F53">
          <w:rPr>
            <w:rStyle w:val="Hyperlink"/>
            <w:sz w:val="22"/>
            <w:szCs w:val="22"/>
          </w:rPr>
          <w:t>CO-2.010.03</w:t>
        </w:r>
      </w:hyperlink>
      <w:r w:rsidRPr="001A1F53">
        <w:rPr>
          <w:sz w:val="22"/>
          <w:szCs w:val="22"/>
        </w:rPr>
        <w:t xml:space="preserve">). </w:t>
      </w:r>
    </w:p>
    <w:p w14:paraId="7E0C6193" w14:textId="77777777" w:rsidR="00E8107A" w:rsidRPr="001A1F53" w:rsidRDefault="00E8107A" w:rsidP="00E8107A">
      <w:pPr>
        <w:pStyle w:val="1BulletOutlinelvl2"/>
        <w:tabs>
          <w:tab w:val="clear" w:pos="1066"/>
          <w:tab w:val="num" w:pos="1440"/>
        </w:tabs>
        <w:ind w:left="1440" w:hanging="720"/>
        <w:jc w:val="both"/>
        <w:rPr>
          <w:sz w:val="22"/>
          <w:szCs w:val="22"/>
        </w:rPr>
      </w:pPr>
      <w:r w:rsidRPr="001A1F53">
        <w:rPr>
          <w:sz w:val="22"/>
          <w:szCs w:val="22"/>
        </w:rPr>
        <w:t>“</w:t>
      </w:r>
      <w:r w:rsidRPr="001A1F53">
        <w:rPr>
          <w:b/>
          <w:sz w:val="22"/>
          <w:szCs w:val="22"/>
        </w:rPr>
        <w:t>Sentinel Event</w:t>
      </w:r>
      <w:r w:rsidRPr="001A1F53">
        <w:rPr>
          <w:sz w:val="22"/>
          <w:szCs w:val="22"/>
        </w:rPr>
        <w:t xml:space="preserve">” is a patient safety event not primarily related to the natural course of the patient’s illness or condition that reaches a patient and results in death, permanent harm, or severe temporary harm. (See also </w:t>
      </w:r>
      <w:hyperlink r:id="rId13" w:history="1">
        <w:r w:rsidRPr="001A1F53">
          <w:rPr>
            <w:rStyle w:val="Hyperlink"/>
            <w:sz w:val="22"/>
            <w:szCs w:val="22"/>
          </w:rPr>
          <w:t>CO-2.010.01</w:t>
        </w:r>
      </w:hyperlink>
      <w:r w:rsidRPr="001A1F53">
        <w:rPr>
          <w:sz w:val="22"/>
          <w:szCs w:val="22"/>
        </w:rPr>
        <w:t xml:space="preserve">.) The PSRS is the mechanism for hospital staff member to complete an event report for patient safety events or near misses (See </w:t>
      </w:r>
      <w:hyperlink r:id="rId14" w:history="1">
        <w:r w:rsidRPr="001A1F53">
          <w:rPr>
            <w:rStyle w:val="Hyperlink"/>
            <w:sz w:val="22"/>
            <w:szCs w:val="22"/>
          </w:rPr>
          <w:t>CO.2008 Event Reporting</w:t>
        </w:r>
      </w:hyperlink>
      <w:r w:rsidRPr="001A1F53">
        <w:rPr>
          <w:sz w:val="22"/>
          <w:szCs w:val="22"/>
        </w:rPr>
        <w:t>).</w:t>
      </w:r>
    </w:p>
    <w:p w14:paraId="3C083685" w14:textId="77777777" w:rsidR="00E8107A" w:rsidRPr="001A1F53" w:rsidRDefault="00E8107A" w:rsidP="00E8107A">
      <w:pPr>
        <w:pStyle w:val="1BulletOutlinelvl2"/>
        <w:tabs>
          <w:tab w:val="clear" w:pos="1066"/>
          <w:tab w:val="num" w:pos="1440"/>
        </w:tabs>
        <w:ind w:left="1440" w:hanging="720"/>
        <w:jc w:val="both"/>
        <w:outlineLvl w:val="0"/>
        <w:rPr>
          <w:sz w:val="22"/>
          <w:szCs w:val="22"/>
        </w:rPr>
      </w:pPr>
      <w:r w:rsidRPr="001A1F53">
        <w:rPr>
          <w:sz w:val="22"/>
          <w:szCs w:val="22"/>
        </w:rPr>
        <w:t>“</w:t>
      </w:r>
      <w:r w:rsidRPr="001A1F53">
        <w:rPr>
          <w:b/>
          <w:sz w:val="22"/>
          <w:szCs w:val="22"/>
        </w:rPr>
        <w:t>Permanent Harm</w:t>
      </w:r>
      <w:r w:rsidRPr="001A1F53">
        <w:rPr>
          <w:sz w:val="22"/>
          <w:szCs w:val="22"/>
        </w:rPr>
        <w:t>” means death or permanent disability that does not allow a patient to return to his/her level of activity that existed prior to the event.</w:t>
      </w:r>
    </w:p>
    <w:p w14:paraId="2220585F" w14:textId="77777777" w:rsidR="00E8107A" w:rsidRPr="001A1F53" w:rsidRDefault="00E8107A" w:rsidP="00E8107A">
      <w:pPr>
        <w:pStyle w:val="1BulletOutlinelvl2"/>
        <w:tabs>
          <w:tab w:val="clear" w:pos="1066"/>
          <w:tab w:val="num" w:pos="1440"/>
        </w:tabs>
        <w:ind w:left="1440" w:hanging="720"/>
        <w:jc w:val="both"/>
        <w:outlineLvl w:val="0"/>
        <w:rPr>
          <w:sz w:val="22"/>
          <w:szCs w:val="22"/>
        </w:rPr>
      </w:pPr>
      <w:r w:rsidRPr="001A1F53">
        <w:rPr>
          <w:sz w:val="22"/>
          <w:szCs w:val="22"/>
        </w:rPr>
        <w:t>“</w:t>
      </w:r>
      <w:r w:rsidRPr="001A1F53">
        <w:rPr>
          <w:b/>
          <w:sz w:val="22"/>
          <w:szCs w:val="22"/>
        </w:rPr>
        <w:t>Severe Temporary Harm</w:t>
      </w:r>
      <w:r w:rsidRPr="001A1F53">
        <w:rPr>
          <w:sz w:val="22"/>
          <w:szCs w:val="22"/>
        </w:rPr>
        <w:t>” is critical, potentially life-threatening harm lasting for a limited time with no permanent residual, but requires transfer to a higher level of care/monitoring for a prolonged period of time, transfer to a higher level of care for a life-threatening condition, or additional major surgery, procedure, or treatment to resolve the condition.</w:t>
      </w:r>
      <w:r w:rsidRPr="001A1F53">
        <w:rPr>
          <w:sz w:val="22"/>
          <w:szCs w:val="22"/>
          <w:u w:val="single"/>
        </w:rPr>
        <w:t xml:space="preserve"> </w:t>
      </w:r>
    </w:p>
    <w:p w14:paraId="4DEAF600" w14:textId="77777777" w:rsidR="00E8107A" w:rsidRPr="001A1F53" w:rsidRDefault="00E8107A" w:rsidP="00E8107A">
      <w:pPr>
        <w:pStyle w:val="1BulletOutlinelvl2"/>
        <w:tabs>
          <w:tab w:val="clear" w:pos="1066"/>
          <w:tab w:val="num" w:pos="1440"/>
        </w:tabs>
        <w:ind w:left="1440" w:hanging="720"/>
        <w:jc w:val="both"/>
        <w:outlineLvl w:val="0"/>
        <w:rPr>
          <w:sz w:val="22"/>
          <w:szCs w:val="22"/>
        </w:rPr>
      </w:pPr>
      <w:r w:rsidRPr="001A1F53">
        <w:rPr>
          <w:sz w:val="22"/>
          <w:szCs w:val="22"/>
        </w:rPr>
        <w:t>“</w:t>
      </w:r>
      <w:r w:rsidRPr="001A1F53">
        <w:rPr>
          <w:b/>
          <w:sz w:val="22"/>
          <w:szCs w:val="22"/>
        </w:rPr>
        <w:t>Temporary Harm</w:t>
      </w:r>
      <w:r w:rsidRPr="001A1F53">
        <w:rPr>
          <w:sz w:val="22"/>
          <w:szCs w:val="22"/>
        </w:rPr>
        <w:t xml:space="preserve">” involves limited injury or additional medical treatment needed in response to a preventable event. Patient returns to normal function after a period of time.  </w:t>
      </w:r>
    </w:p>
    <w:p w14:paraId="49EC2E66" w14:textId="77777777" w:rsidR="00E8107A" w:rsidRPr="001A1F53" w:rsidRDefault="00E8107A" w:rsidP="00E8107A">
      <w:pPr>
        <w:pStyle w:val="1BulletOutlinelvl2"/>
        <w:tabs>
          <w:tab w:val="clear" w:pos="1066"/>
          <w:tab w:val="num" w:pos="1440"/>
        </w:tabs>
        <w:ind w:left="1440" w:hanging="720"/>
        <w:jc w:val="both"/>
        <w:rPr>
          <w:sz w:val="22"/>
          <w:szCs w:val="22"/>
        </w:rPr>
      </w:pPr>
      <w:r w:rsidRPr="001A1F53">
        <w:rPr>
          <w:sz w:val="22"/>
          <w:szCs w:val="22"/>
        </w:rPr>
        <w:t>“</w:t>
      </w:r>
      <w:r w:rsidRPr="001A1F53">
        <w:rPr>
          <w:b/>
          <w:sz w:val="22"/>
          <w:szCs w:val="22"/>
        </w:rPr>
        <w:t>Unanticipated Outcome</w:t>
      </w:r>
      <w:r w:rsidRPr="001A1F53">
        <w:rPr>
          <w:sz w:val="22"/>
          <w:szCs w:val="22"/>
        </w:rPr>
        <w:t>” means an outcome that is not anticipated in the normal course of the patient’s care.</w:t>
      </w:r>
    </w:p>
    <w:p w14:paraId="04BCD514" w14:textId="77777777" w:rsidR="00E8107A" w:rsidRPr="001A1F53" w:rsidRDefault="00E8107A" w:rsidP="00E8107A">
      <w:pPr>
        <w:pStyle w:val="1BulletOutlinelvl2"/>
        <w:tabs>
          <w:tab w:val="clear" w:pos="1066"/>
          <w:tab w:val="num" w:pos="1440"/>
        </w:tabs>
        <w:ind w:left="1440" w:hanging="720"/>
        <w:jc w:val="both"/>
        <w:rPr>
          <w:sz w:val="22"/>
          <w:szCs w:val="22"/>
        </w:rPr>
      </w:pPr>
      <w:r w:rsidRPr="001A1F53">
        <w:rPr>
          <w:sz w:val="22"/>
          <w:szCs w:val="22"/>
        </w:rPr>
        <w:t xml:space="preserve"> “</w:t>
      </w:r>
      <w:r w:rsidRPr="001A1F53">
        <w:rPr>
          <w:b/>
          <w:sz w:val="22"/>
          <w:szCs w:val="22"/>
        </w:rPr>
        <w:t>Unpreventable Event</w:t>
      </w:r>
      <w:r w:rsidRPr="001A1F53">
        <w:rPr>
          <w:sz w:val="22"/>
          <w:szCs w:val="22"/>
        </w:rPr>
        <w:t>” means an outcome that is within the known risks of the procedure and no error is involved in care delivery. Unpreventable events resulting in harm may result in patient temporary or significant harm.</w:t>
      </w:r>
    </w:p>
    <w:p w14:paraId="5B470175" w14:textId="77777777" w:rsidR="00E8107A" w:rsidRPr="001A1F53" w:rsidRDefault="00E8107A" w:rsidP="00E8107A">
      <w:pPr>
        <w:pStyle w:val="1BulletOutline"/>
        <w:tabs>
          <w:tab w:val="clear" w:pos="720"/>
        </w:tabs>
        <w:ind w:left="720" w:hanging="720"/>
        <w:rPr>
          <w:sz w:val="22"/>
          <w:szCs w:val="22"/>
        </w:rPr>
      </w:pPr>
      <w:r w:rsidRPr="001A1F53">
        <w:rPr>
          <w:sz w:val="22"/>
          <w:szCs w:val="22"/>
        </w:rPr>
        <w:t>POLICY:</w:t>
      </w:r>
    </w:p>
    <w:p w14:paraId="4E0FD140" w14:textId="77777777" w:rsidR="00E8107A" w:rsidRPr="001A1F53" w:rsidRDefault="00E8107A" w:rsidP="00E8107A">
      <w:pPr>
        <w:pStyle w:val="Text"/>
        <w:numPr>
          <w:ilvl w:val="0"/>
          <w:numId w:val="16"/>
        </w:numPr>
        <w:tabs>
          <w:tab w:val="left" w:pos="1440"/>
        </w:tabs>
        <w:spacing w:before="240" w:after="0"/>
        <w:jc w:val="both"/>
        <w:rPr>
          <w:bCs/>
          <w:sz w:val="22"/>
          <w:szCs w:val="22"/>
        </w:rPr>
      </w:pPr>
      <w:r w:rsidRPr="001A1F53">
        <w:rPr>
          <w:bCs/>
          <w:sz w:val="22"/>
          <w:szCs w:val="22"/>
        </w:rPr>
        <w:t>The Risk Manager shall utilize the patient safety reporting system (PSRS) to identify,</w:t>
      </w:r>
      <w:r w:rsidRPr="001A1F53">
        <w:rPr>
          <w:sz w:val="22"/>
          <w:szCs w:val="22"/>
        </w:rPr>
        <w:t xml:space="preserve"> address, document and report to their appropriate Supervisor and, Senior Director of Patient Safety/Clinical Risk Management of all potential Sentinel Events. In response to each Sentinel Event, the Hospital shall:</w:t>
      </w:r>
    </w:p>
    <w:p w14:paraId="4FDB65BB" w14:textId="77777777" w:rsidR="00E8107A" w:rsidRPr="001A1F53" w:rsidRDefault="00E8107A" w:rsidP="00E8107A">
      <w:pPr>
        <w:pStyle w:val="Text"/>
        <w:numPr>
          <w:ilvl w:val="0"/>
          <w:numId w:val="6"/>
        </w:numPr>
        <w:tabs>
          <w:tab w:val="clear" w:pos="960"/>
          <w:tab w:val="left" w:pos="2160"/>
        </w:tabs>
        <w:spacing w:before="240" w:after="0"/>
        <w:ind w:left="2160" w:hanging="720"/>
        <w:jc w:val="both"/>
        <w:rPr>
          <w:sz w:val="22"/>
          <w:szCs w:val="22"/>
        </w:rPr>
      </w:pPr>
      <w:r w:rsidRPr="001A1F53">
        <w:rPr>
          <w:sz w:val="22"/>
          <w:szCs w:val="22"/>
        </w:rPr>
        <w:t xml:space="preserve">timely report the event via the PSRS to the Senior Director of Patient Safety/Clinical Risk Management (see also </w:t>
      </w:r>
      <w:hyperlink r:id="rId15" w:history="1">
        <w:r w:rsidRPr="001A1F53">
          <w:rPr>
            <w:rStyle w:val="Hyperlink"/>
            <w:sz w:val="22"/>
            <w:szCs w:val="22"/>
          </w:rPr>
          <w:t>CO-2.008 Event Reporting</w:t>
        </w:r>
      </w:hyperlink>
      <w:r w:rsidRPr="001A1F53">
        <w:rPr>
          <w:sz w:val="22"/>
          <w:szCs w:val="22"/>
        </w:rPr>
        <w:t xml:space="preserve">); </w:t>
      </w:r>
    </w:p>
    <w:p w14:paraId="2EDA9CD6" w14:textId="77777777" w:rsidR="00E8107A" w:rsidRPr="001A1F53" w:rsidRDefault="00E8107A" w:rsidP="00E8107A">
      <w:pPr>
        <w:pStyle w:val="Text"/>
        <w:numPr>
          <w:ilvl w:val="0"/>
          <w:numId w:val="6"/>
        </w:numPr>
        <w:tabs>
          <w:tab w:val="clear" w:pos="960"/>
          <w:tab w:val="left" w:pos="2160"/>
        </w:tabs>
        <w:spacing w:before="240" w:after="0"/>
        <w:ind w:left="2160" w:hanging="720"/>
        <w:jc w:val="both"/>
        <w:rPr>
          <w:sz w:val="22"/>
          <w:szCs w:val="22"/>
        </w:rPr>
      </w:pPr>
      <w:r w:rsidRPr="001A1F53">
        <w:rPr>
          <w:sz w:val="22"/>
          <w:szCs w:val="22"/>
        </w:rPr>
        <w:t>conduct a timely, thorough and credible root cause analysis via Root Cause Meetings within 14 days of the event being identified where attendees are multidisciplinary groups (including Medical Staff)  based on the event;</w:t>
      </w:r>
    </w:p>
    <w:p w14:paraId="13BF98C8" w14:textId="77777777" w:rsidR="00E8107A" w:rsidRPr="001A1F53" w:rsidRDefault="00E8107A" w:rsidP="00E8107A">
      <w:pPr>
        <w:pStyle w:val="Text"/>
        <w:numPr>
          <w:ilvl w:val="0"/>
          <w:numId w:val="6"/>
        </w:numPr>
        <w:tabs>
          <w:tab w:val="clear" w:pos="960"/>
          <w:tab w:val="left" w:pos="1800"/>
        </w:tabs>
        <w:spacing w:before="240" w:after="0"/>
        <w:ind w:left="2160" w:hanging="720"/>
        <w:jc w:val="both"/>
        <w:rPr>
          <w:sz w:val="22"/>
          <w:szCs w:val="22"/>
        </w:rPr>
      </w:pPr>
      <w:r w:rsidRPr="001A1F53">
        <w:rPr>
          <w:sz w:val="22"/>
          <w:szCs w:val="22"/>
        </w:rPr>
        <w:lastRenderedPageBreak/>
        <w:t xml:space="preserve"> </w:t>
      </w:r>
      <w:r w:rsidRPr="001A1F53">
        <w:rPr>
          <w:sz w:val="22"/>
          <w:szCs w:val="22"/>
        </w:rPr>
        <w:tab/>
        <w:t xml:space="preserve">develop an action plan with measurable intermediate and high strength human factor action items designed to implement improvements to reduce risk; </w:t>
      </w:r>
    </w:p>
    <w:p w14:paraId="3854FEBB" w14:textId="77777777" w:rsidR="00E8107A" w:rsidRPr="001A1F53" w:rsidRDefault="00E8107A" w:rsidP="00E8107A">
      <w:pPr>
        <w:pStyle w:val="Text"/>
        <w:numPr>
          <w:ilvl w:val="0"/>
          <w:numId w:val="6"/>
        </w:numPr>
        <w:tabs>
          <w:tab w:val="clear" w:pos="960"/>
          <w:tab w:val="left" w:pos="1800"/>
        </w:tabs>
        <w:spacing w:before="240" w:after="0"/>
        <w:ind w:left="2160" w:hanging="720"/>
        <w:jc w:val="both"/>
        <w:rPr>
          <w:sz w:val="22"/>
          <w:szCs w:val="22"/>
        </w:rPr>
      </w:pPr>
      <w:r w:rsidRPr="001A1F53">
        <w:rPr>
          <w:sz w:val="22"/>
          <w:szCs w:val="22"/>
        </w:rPr>
        <w:t xml:space="preserve"> </w:t>
      </w:r>
      <w:r w:rsidRPr="001A1F53">
        <w:rPr>
          <w:sz w:val="22"/>
          <w:szCs w:val="22"/>
        </w:rPr>
        <w:tab/>
        <w:t>implement those improvements; and</w:t>
      </w:r>
    </w:p>
    <w:p w14:paraId="2FBD301D" w14:textId="77777777" w:rsidR="00E8107A" w:rsidRPr="001A1F53" w:rsidRDefault="00E8107A" w:rsidP="00E8107A">
      <w:pPr>
        <w:pStyle w:val="Text"/>
        <w:numPr>
          <w:ilvl w:val="0"/>
          <w:numId w:val="6"/>
        </w:numPr>
        <w:tabs>
          <w:tab w:val="clear" w:pos="960"/>
          <w:tab w:val="left" w:pos="1800"/>
        </w:tabs>
        <w:spacing w:before="240" w:after="0"/>
        <w:ind w:left="2160" w:hanging="720"/>
        <w:jc w:val="both"/>
        <w:rPr>
          <w:sz w:val="22"/>
          <w:szCs w:val="22"/>
        </w:rPr>
      </w:pPr>
      <w:r w:rsidRPr="001A1F53">
        <w:rPr>
          <w:sz w:val="22"/>
          <w:szCs w:val="22"/>
        </w:rPr>
        <w:t xml:space="preserve"> </w:t>
      </w:r>
      <w:r w:rsidRPr="001A1F53">
        <w:rPr>
          <w:sz w:val="22"/>
          <w:szCs w:val="22"/>
        </w:rPr>
        <w:tab/>
        <w:t>monitor the effectiveness of those improvements.</w:t>
      </w:r>
    </w:p>
    <w:p w14:paraId="07EB9CC2" w14:textId="77777777" w:rsidR="00E8107A" w:rsidRPr="001A1F53" w:rsidRDefault="00E8107A" w:rsidP="00E8107A">
      <w:pPr>
        <w:pStyle w:val="Text"/>
        <w:tabs>
          <w:tab w:val="left" w:pos="1440"/>
        </w:tabs>
        <w:spacing w:before="240" w:after="0"/>
        <w:ind w:firstLine="720"/>
        <w:jc w:val="both"/>
        <w:rPr>
          <w:bCs/>
          <w:sz w:val="22"/>
          <w:szCs w:val="22"/>
        </w:rPr>
      </w:pPr>
      <w:r w:rsidRPr="001A1F53">
        <w:rPr>
          <w:bCs/>
          <w:sz w:val="22"/>
          <w:szCs w:val="22"/>
        </w:rPr>
        <w:t>B.</w:t>
      </w:r>
      <w:r w:rsidRPr="001A1F53">
        <w:rPr>
          <w:bCs/>
          <w:sz w:val="22"/>
          <w:szCs w:val="22"/>
        </w:rPr>
        <w:tab/>
        <w:t>Determination of Reporting of Sentinel Events to TJC</w:t>
      </w:r>
    </w:p>
    <w:p w14:paraId="74E9783E" w14:textId="77777777" w:rsidR="00E8107A" w:rsidRPr="001A1F53" w:rsidRDefault="00E8107A" w:rsidP="00E8107A">
      <w:pPr>
        <w:pStyle w:val="Text"/>
        <w:tabs>
          <w:tab w:val="left" w:pos="1440"/>
        </w:tabs>
        <w:spacing w:before="240" w:after="0"/>
        <w:ind w:left="1440"/>
        <w:jc w:val="both"/>
        <w:rPr>
          <w:bCs/>
          <w:sz w:val="22"/>
          <w:szCs w:val="22"/>
        </w:rPr>
      </w:pPr>
      <w:r w:rsidRPr="001A1F53">
        <w:rPr>
          <w:bCs/>
          <w:sz w:val="22"/>
          <w:szCs w:val="22"/>
        </w:rPr>
        <w:t xml:space="preserve">The Hospital shall perform a Root Cause Analysis for Sentinel Events and shall evaluate reporting Sentinel Events to TJC after consultation with Home Office Senior Director of Quality Management and Regulatory Counsel. </w:t>
      </w:r>
    </w:p>
    <w:p w14:paraId="3BB6E473" w14:textId="77777777" w:rsidR="00E8107A" w:rsidRPr="001A1F53" w:rsidRDefault="00E8107A" w:rsidP="00E8107A">
      <w:pPr>
        <w:pStyle w:val="1BulletOutline"/>
        <w:tabs>
          <w:tab w:val="clear" w:pos="720"/>
        </w:tabs>
        <w:ind w:left="720" w:hanging="720"/>
        <w:rPr>
          <w:sz w:val="22"/>
          <w:szCs w:val="22"/>
        </w:rPr>
      </w:pPr>
      <w:r w:rsidRPr="001A1F53">
        <w:rPr>
          <w:sz w:val="22"/>
          <w:szCs w:val="22"/>
        </w:rPr>
        <w:t>PROCEDURE:</w:t>
      </w:r>
    </w:p>
    <w:p w14:paraId="7266E86A" w14:textId="77777777" w:rsidR="00E8107A" w:rsidRPr="001A1F53" w:rsidRDefault="00E8107A" w:rsidP="00E8107A">
      <w:pPr>
        <w:pStyle w:val="Text"/>
        <w:tabs>
          <w:tab w:val="left" w:pos="1440"/>
        </w:tabs>
        <w:spacing w:before="240" w:after="0"/>
        <w:ind w:left="720"/>
        <w:rPr>
          <w:sz w:val="22"/>
          <w:szCs w:val="22"/>
        </w:rPr>
      </w:pPr>
      <w:r w:rsidRPr="001A1F53">
        <w:rPr>
          <w:sz w:val="22"/>
          <w:szCs w:val="22"/>
        </w:rPr>
        <w:t>A.</w:t>
      </w:r>
      <w:r w:rsidRPr="001A1F53">
        <w:rPr>
          <w:sz w:val="22"/>
          <w:szCs w:val="22"/>
        </w:rPr>
        <w:tab/>
        <w:t>Hospital Implementation</w:t>
      </w:r>
    </w:p>
    <w:p w14:paraId="70EF2623" w14:textId="77777777" w:rsidR="00E8107A" w:rsidRPr="001A1F53" w:rsidRDefault="00E8107A" w:rsidP="00E8107A">
      <w:pPr>
        <w:pStyle w:val="Text"/>
        <w:spacing w:before="240" w:after="0"/>
        <w:ind w:left="1440"/>
        <w:jc w:val="both"/>
        <w:rPr>
          <w:sz w:val="22"/>
          <w:szCs w:val="22"/>
        </w:rPr>
      </w:pPr>
      <w:r w:rsidRPr="001A1F53">
        <w:rPr>
          <w:sz w:val="22"/>
          <w:szCs w:val="22"/>
        </w:rPr>
        <w:t>The Hospital’s Risk Manager</w:t>
      </w:r>
      <w:r w:rsidRPr="001A1F53">
        <w:rPr>
          <w:rStyle w:val="FootnoteReference"/>
          <w:sz w:val="22"/>
          <w:szCs w:val="22"/>
        </w:rPr>
        <w:footnoteReference w:customMarkFollows="1" w:id="3"/>
        <w:t>3</w:t>
      </w:r>
      <w:r w:rsidRPr="001A1F53">
        <w:rPr>
          <w:sz w:val="22"/>
          <w:szCs w:val="22"/>
        </w:rPr>
        <w:t>, Event Manager, or other appropriate person with responsibility for these functions (the “Risk Manager”) shall ensure that the following steps are followed to comply with this policy.  Some steps may occur concurrently.</w:t>
      </w:r>
    </w:p>
    <w:p w14:paraId="219701D4" w14:textId="77777777" w:rsidR="00E8107A" w:rsidRPr="001A1F53" w:rsidRDefault="00E8107A" w:rsidP="00E8107A">
      <w:pPr>
        <w:pStyle w:val="1BulletOutlinelvl2"/>
        <w:numPr>
          <w:ilvl w:val="1"/>
          <w:numId w:val="8"/>
        </w:numPr>
        <w:tabs>
          <w:tab w:val="clear" w:pos="1066"/>
          <w:tab w:val="num" w:pos="1440"/>
        </w:tabs>
        <w:ind w:left="1440" w:hanging="720"/>
        <w:rPr>
          <w:sz w:val="22"/>
          <w:szCs w:val="22"/>
        </w:rPr>
      </w:pPr>
      <w:r w:rsidRPr="001A1F53">
        <w:rPr>
          <w:sz w:val="22"/>
          <w:szCs w:val="22"/>
        </w:rPr>
        <w:t>Complete an Event Report</w:t>
      </w:r>
    </w:p>
    <w:p w14:paraId="392DF842" w14:textId="77777777" w:rsidR="00E8107A" w:rsidRPr="001A1F53" w:rsidRDefault="00E8107A" w:rsidP="00E8107A">
      <w:pPr>
        <w:pStyle w:val="1BulletOutlinelvl3"/>
        <w:tabs>
          <w:tab w:val="clear" w:pos="1072"/>
          <w:tab w:val="num" w:pos="2160"/>
        </w:tabs>
        <w:ind w:left="2160" w:hanging="720"/>
        <w:jc w:val="both"/>
        <w:rPr>
          <w:sz w:val="22"/>
          <w:szCs w:val="22"/>
        </w:rPr>
      </w:pPr>
      <w:r w:rsidRPr="001A1F53">
        <w:rPr>
          <w:sz w:val="22"/>
          <w:szCs w:val="22"/>
        </w:rPr>
        <w:t xml:space="preserve">All Hospital staff are required to report events which reach the level of a Sentinel Event pursuant to the Hospital’s Event Reporting policy (see </w:t>
      </w:r>
      <w:hyperlink r:id="rId16" w:history="1">
        <w:r w:rsidRPr="001A1F53">
          <w:rPr>
            <w:rStyle w:val="Hyperlink"/>
            <w:sz w:val="22"/>
            <w:szCs w:val="22"/>
          </w:rPr>
          <w:t>CO-2.008 Event Reporting</w:t>
        </w:r>
      </w:hyperlink>
      <w:r w:rsidRPr="001A1F53">
        <w:rPr>
          <w:sz w:val="22"/>
          <w:szCs w:val="22"/>
        </w:rPr>
        <w:t xml:space="preserve">). </w:t>
      </w:r>
    </w:p>
    <w:p w14:paraId="3399D870" w14:textId="77777777" w:rsidR="00E8107A" w:rsidRPr="001A1F53" w:rsidRDefault="00E8107A" w:rsidP="00E8107A">
      <w:pPr>
        <w:pStyle w:val="1BulletOutlinelvl3"/>
        <w:tabs>
          <w:tab w:val="clear" w:pos="1072"/>
          <w:tab w:val="num" w:pos="2160"/>
        </w:tabs>
        <w:ind w:left="2160" w:hanging="720"/>
        <w:jc w:val="both"/>
        <w:rPr>
          <w:sz w:val="22"/>
          <w:szCs w:val="22"/>
        </w:rPr>
      </w:pPr>
      <w:r w:rsidRPr="001A1F53">
        <w:rPr>
          <w:sz w:val="22"/>
          <w:szCs w:val="22"/>
        </w:rPr>
        <w:t xml:space="preserve">The Risk Manager shall review all event reports to determine whether they meet the definition of a Sentinel Event.  </w:t>
      </w:r>
    </w:p>
    <w:p w14:paraId="30112013" w14:textId="77777777" w:rsidR="00E8107A" w:rsidRPr="001A1F53" w:rsidRDefault="00E8107A" w:rsidP="00E8107A">
      <w:pPr>
        <w:pStyle w:val="1BulletOutlinelvl3"/>
        <w:tabs>
          <w:tab w:val="clear" w:pos="1072"/>
          <w:tab w:val="num" w:pos="2160"/>
        </w:tabs>
        <w:ind w:left="2160" w:hanging="720"/>
        <w:jc w:val="both"/>
        <w:rPr>
          <w:sz w:val="22"/>
          <w:szCs w:val="22"/>
        </w:rPr>
      </w:pPr>
      <w:r w:rsidRPr="001A1F53">
        <w:rPr>
          <w:sz w:val="22"/>
          <w:szCs w:val="22"/>
        </w:rPr>
        <w:t xml:space="preserve">The Risk Manager shall identify all potential Sentinel Events in the PSRS by completing a Serious Reportable Event cue which shall notify Senior Director of Patient Safety/Clinical Risk Management.  </w:t>
      </w:r>
    </w:p>
    <w:p w14:paraId="1C083526" w14:textId="77777777" w:rsidR="00E8107A" w:rsidRPr="001A1F53" w:rsidRDefault="00E8107A" w:rsidP="00E8107A">
      <w:pPr>
        <w:pStyle w:val="1BulletOutlinelvl3"/>
        <w:tabs>
          <w:tab w:val="clear" w:pos="1072"/>
          <w:tab w:val="num" w:pos="2160"/>
        </w:tabs>
        <w:ind w:left="2160" w:hanging="720"/>
        <w:jc w:val="both"/>
        <w:rPr>
          <w:sz w:val="22"/>
          <w:szCs w:val="22"/>
        </w:rPr>
      </w:pPr>
      <w:r w:rsidRPr="001A1F53">
        <w:rPr>
          <w:sz w:val="22"/>
          <w:szCs w:val="22"/>
        </w:rPr>
        <w:t>For all potential Sentinel Events and Near Misses, the Risk Manager shall ensure that the PSRS contains a description of the event</w:t>
      </w:r>
      <w:r w:rsidRPr="001A1F53">
        <w:rPr>
          <w:rFonts w:ascii="Times" w:hAnsi="Times"/>
          <w:sz w:val="22"/>
          <w:szCs w:val="22"/>
        </w:rPr>
        <w:t xml:space="preserve"> </w:t>
      </w:r>
      <w:r w:rsidRPr="001A1F53">
        <w:rPr>
          <w:sz w:val="22"/>
          <w:szCs w:val="22"/>
        </w:rPr>
        <w:t>as well as the date of event and medical record number(s).</w:t>
      </w:r>
    </w:p>
    <w:p w14:paraId="01EBA7C8" w14:textId="77777777" w:rsidR="00E8107A" w:rsidRPr="001A1F53" w:rsidRDefault="00E8107A" w:rsidP="00E8107A">
      <w:pPr>
        <w:pStyle w:val="1BulletOutlinelvl3"/>
        <w:tabs>
          <w:tab w:val="clear" w:pos="1072"/>
          <w:tab w:val="num" w:pos="2160"/>
        </w:tabs>
        <w:ind w:left="2160" w:hanging="720"/>
        <w:jc w:val="both"/>
        <w:rPr>
          <w:sz w:val="22"/>
          <w:szCs w:val="22"/>
        </w:rPr>
      </w:pPr>
      <w:r w:rsidRPr="001A1F53">
        <w:rPr>
          <w:sz w:val="22"/>
          <w:szCs w:val="22"/>
        </w:rPr>
        <w:t xml:space="preserve">For research subjects involved in a serious adverse event (SAE) the Risk Manager is to be notified along with the principle investigator and Home Office Director of Clinical Research. Refer to policy </w:t>
      </w:r>
      <w:hyperlink r:id="rId17" w:history="1">
        <w:r w:rsidRPr="001A1F53">
          <w:rPr>
            <w:rStyle w:val="Hyperlink"/>
            <w:sz w:val="22"/>
            <w:szCs w:val="22"/>
          </w:rPr>
          <w:t>CO-2.030 Serious Adverse Events Involving Research Patients</w:t>
        </w:r>
      </w:hyperlink>
      <w:r w:rsidRPr="001A1F53">
        <w:rPr>
          <w:sz w:val="22"/>
          <w:szCs w:val="22"/>
        </w:rPr>
        <w:t xml:space="preserve">. </w:t>
      </w:r>
    </w:p>
    <w:p w14:paraId="4890673E" w14:textId="77777777" w:rsidR="00E8107A" w:rsidRPr="001A1F53" w:rsidRDefault="00E8107A" w:rsidP="00E8107A">
      <w:pPr>
        <w:pStyle w:val="1BulletOutlinelvl2"/>
        <w:tabs>
          <w:tab w:val="clear" w:pos="1066"/>
          <w:tab w:val="num" w:pos="1440"/>
        </w:tabs>
        <w:ind w:left="1440" w:hanging="720"/>
        <w:rPr>
          <w:sz w:val="22"/>
          <w:szCs w:val="22"/>
        </w:rPr>
      </w:pPr>
      <w:r w:rsidRPr="001A1F53">
        <w:rPr>
          <w:sz w:val="22"/>
          <w:szCs w:val="22"/>
        </w:rPr>
        <w:t>Report to the Appropriate Person</w:t>
      </w:r>
    </w:p>
    <w:p w14:paraId="66D58938" w14:textId="77777777" w:rsidR="00E8107A" w:rsidRPr="001A1F53" w:rsidRDefault="00E8107A" w:rsidP="00E8107A">
      <w:pPr>
        <w:pStyle w:val="Text2"/>
        <w:tabs>
          <w:tab w:val="left" w:pos="2160"/>
        </w:tabs>
        <w:spacing w:before="240" w:after="0"/>
        <w:ind w:left="2160" w:hanging="720"/>
        <w:jc w:val="both"/>
        <w:rPr>
          <w:sz w:val="22"/>
          <w:szCs w:val="22"/>
        </w:rPr>
      </w:pPr>
      <w:r w:rsidRPr="001A1F53">
        <w:rPr>
          <w:sz w:val="22"/>
          <w:szCs w:val="22"/>
        </w:rPr>
        <w:t xml:space="preserve">1. </w:t>
      </w:r>
      <w:r w:rsidRPr="001A1F53">
        <w:rPr>
          <w:sz w:val="22"/>
          <w:szCs w:val="22"/>
        </w:rPr>
        <w:tab/>
        <w:t>The Risk Manager shall report all potential Sentinel Events to Hospital Administration and the Compliance Officer.  The report shall include the following information:</w:t>
      </w:r>
    </w:p>
    <w:p w14:paraId="28FE1611" w14:textId="77777777" w:rsidR="00E8107A" w:rsidRPr="001A1F53" w:rsidRDefault="00E8107A" w:rsidP="00E8107A">
      <w:pPr>
        <w:pStyle w:val="Text2"/>
        <w:tabs>
          <w:tab w:val="left" w:pos="2880"/>
        </w:tabs>
        <w:spacing w:before="240" w:after="0"/>
        <w:ind w:left="2880" w:hanging="720"/>
        <w:jc w:val="both"/>
        <w:rPr>
          <w:sz w:val="22"/>
          <w:szCs w:val="22"/>
        </w:rPr>
      </w:pPr>
      <w:r w:rsidRPr="001A1F53">
        <w:rPr>
          <w:sz w:val="22"/>
          <w:szCs w:val="22"/>
        </w:rPr>
        <w:t>a.</w:t>
      </w:r>
      <w:r w:rsidRPr="001A1F53">
        <w:rPr>
          <w:sz w:val="22"/>
          <w:szCs w:val="22"/>
        </w:rPr>
        <w:tab/>
        <w:t>Patient name and event date;</w:t>
      </w:r>
    </w:p>
    <w:p w14:paraId="36A15328" w14:textId="77777777" w:rsidR="00E8107A" w:rsidRPr="001A1F53" w:rsidRDefault="00E8107A" w:rsidP="00E8107A">
      <w:pPr>
        <w:pStyle w:val="Text2"/>
        <w:tabs>
          <w:tab w:val="left" w:pos="2880"/>
        </w:tabs>
        <w:spacing w:before="240" w:after="0"/>
        <w:ind w:left="2880" w:hanging="720"/>
        <w:jc w:val="both"/>
        <w:rPr>
          <w:sz w:val="22"/>
          <w:szCs w:val="22"/>
        </w:rPr>
      </w:pPr>
      <w:r w:rsidRPr="001A1F53">
        <w:rPr>
          <w:sz w:val="22"/>
          <w:szCs w:val="22"/>
        </w:rPr>
        <w:lastRenderedPageBreak/>
        <w:t>b.</w:t>
      </w:r>
      <w:r w:rsidRPr="001A1F53">
        <w:rPr>
          <w:sz w:val="22"/>
          <w:szCs w:val="22"/>
        </w:rPr>
        <w:tab/>
        <w:t>Description of the event;</w:t>
      </w:r>
    </w:p>
    <w:p w14:paraId="65FFFC39" w14:textId="77777777" w:rsidR="00E8107A" w:rsidRPr="001A1F53" w:rsidRDefault="00E8107A" w:rsidP="00E8107A">
      <w:pPr>
        <w:pStyle w:val="Text2"/>
        <w:tabs>
          <w:tab w:val="left" w:pos="2880"/>
        </w:tabs>
        <w:spacing w:before="240" w:after="0"/>
        <w:ind w:left="2880" w:hanging="720"/>
        <w:jc w:val="both"/>
        <w:rPr>
          <w:sz w:val="22"/>
          <w:szCs w:val="22"/>
        </w:rPr>
      </w:pPr>
      <w:r w:rsidRPr="001A1F53">
        <w:rPr>
          <w:sz w:val="22"/>
          <w:szCs w:val="22"/>
        </w:rPr>
        <w:t>c.</w:t>
      </w:r>
      <w:r w:rsidRPr="001A1F53">
        <w:rPr>
          <w:sz w:val="22"/>
          <w:szCs w:val="22"/>
        </w:rPr>
        <w:tab/>
        <w:t>Current status of the patient and discharge date;</w:t>
      </w:r>
    </w:p>
    <w:p w14:paraId="287BF69E" w14:textId="77777777" w:rsidR="00E8107A" w:rsidRPr="001A1F53" w:rsidRDefault="00E8107A" w:rsidP="00E8107A">
      <w:pPr>
        <w:pStyle w:val="Text2"/>
        <w:tabs>
          <w:tab w:val="left" w:pos="2880"/>
        </w:tabs>
        <w:spacing w:before="240" w:after="0"/>
        <w:ind w:left="2880" w:hanging="720"/>
        <w:jc w:val="both"/>
        <w:rPr>
          <w:sz w:val="22"/>
          <w:szCs w:val="22"/>
        </w:rPr>
      </w:pPr>
      <w:r w:rsidRPr="001A1F53">
        <w:rPr>
          <w:sz w:val="22"/>
          <w:szCs w:val="22"/>
        </w:rPr>
        <w:t>d.</w:t>
      </w:r>
      <w:r w:rsidRPr="001A1F53">
        <w:rPr>
          <w:sz w:val="22"/>
          <w:szCs w:val="22"/>
        </w:rPr>
        <w:tab/>
        <w:t>If the patient expired, whether the death was related to the natural course of the patient’s underlying condition;</w:t>
      </w:r>
    </w:p>
    <w:p w14:paraId="36B0D20F" w14:textId="77777777" w:rsidR="00E8107A" w:rsidRPr="001A1F53" w:rsidRDefault="00E8107A" w:rsidP="00E8107A">
      <w:pPr>
        <w:pStyle w:val="Text2"/>
        <w:tabs>
          <w:tab w:val="left" w:pos="2880"/>
        </w:tabs>
        <w:spacing w:before="240" w:after="0"/>
        <w:ind w:left="2880" w:hanging="720"/>
        <w:jc w:val="both"/>
        <w:rPr>
          <w:sz w:val="22"/>
          <w:szCs w:val="22"/>
        </w:rPr>
      </w:pPr>
      <w:r w:rsidRPr="001A1F53">
        <w:rPr>
          <w:sz w:val="22"/>
          <w:szCs w:val="22"/>
        </w:rPr>
        <w:t>e.</w:t>
      </w:r>
      <w:r w:rsidRPr="001A1F53">
        <w:rPr>
          <w:sz w:val="22"/>
          <w:szCs w:val="22"/>
        </w:rPr>
        <w:tab/>
        <w:t>If the patient expired, whether the case shall be referred to the medical examiner;</w:t>
      </w:r>
    </w:p>
    <w:p w14:paraId="387747F1" w14:textId="77777777" w:rsidR="00E8107A" w:rsidRPr="001A1F53" w:rsidRDefault="00E8107A" w:rsidP="00E8107A">
      <w:pPr>
        <w:pStyle w:val="Text2"/>
        <w:tabs>
          <w:tab w:val="left" w:pos="2880"/>
        </w:tabs>
        <w:spacing w:before="240" w:after="0"/>
        <w:ind w:left="2880" w:hanging="720"/>
        <w:jc w:val="both"/>
        <w:rPr>
          <w:sz w:val="22"/>
          <w:szCs w:val="22"/>
        </w:rPr>
      </w:pPr>
      <w:r w:rsidRPr="001A1F53">
        <w:rPr>
          <w:sz w:val="22"/>
          <w:szCs w:val="22"/>
        </w:rPr>
        <w:t xml:space="preserve">f. </w:t>
      </w:r>
      <w:r w:rsidRPr="001A1F53">
        <w:rPr>
          <w:sz w:val="22"/>
          <w:szCs w:val="22"/>
        </w:rPr>
        <w:tab/>
        <w:t>Whether notification of the event has been made to the patient and/or family; and</w:t>
      </w:r>
    </w:p>
    <w:p w14:paraId="530FAEC2" w14:textId="77777777" w:rsidR="00E8107A" w:rsidRPr="001A1F53" w:rsidRDefault="00E8107A" w:rsidP="00E8107A">
      <w:pPr>
        <w:pStyle w:val="Text2"/>
        <w:tabs>
          <w:tab w:val="left" w:pos="2880"/>
        </w:tabs>
        <w:spacing w:before="240" w:after="0"/>
        <w:ind w:left="2880" w:hanging="720"/>
        <w:jc w:val="both"/>
        <w:rPr>
          <w:sz w:val="22"/>
          <w:szCs w:val="22"/>
        </w:rPr>
      </w:pPr>
      <w:r w:rsidRPr="001A1F53">
        <w:rPr>
          <w:sz w:val="22"/>
          <w:szCs w:val="22"/>
        </w:rPr>
        <w:t>g.</w:t>
      </w:r>
      <w:r w:rsidRPr="001A1F53">
        <w:rPr>
          <w:sz w:val="22"/>
          <w:szCs w:val="22"/>
        </w:rPr>
        <w:tab/>
        <w:t>Whether the Risk Manager believes that any state or Federal reporting obligations are triggered (</w:t>
      </w:r>
      <w:r w:rsidRPr="001A1F53">
        <w:rPr>
          <w:i/>
          <w:sz w:val="22"/>
          <w:szCs w:val="22"/>
        </w:rPr>
        <w:t>i.e.,</w:t>
      </w:r>
      <w:r w:rsidRPr="001A1F53">
        <w:rPr>
          <w:sz w:val="22"/>
          <w:szCs w:val="22"/>
        </w:rPr>
        <w:t xml:space="preserve"> reporting to DHS; reporting restraint deaths to the Centers for Medicare and Medicaid Services (CMS); reporting pursuant to the Safe Medical Devices Act, etc.).</w:t>
      </w:r>
    </w:p>
    <w:p w14:paraId="1BB029E3" w14:textId="77777777" w:rsidR="00E8107A" w:rsidRPr="001A1F53" w:rsidRDefault="00E8107A" w:rsidP="00E8107A">
      <w:pPr>
        <w:pStyle w:val="Text2"/>
        <w:tabs>
          <w:tab w:val="left" w:pos="2160"/>
        </w:tabs>
        <w:spacing w:before="240" w:after="0"/>
        <w:ind w:firstLine="378"/>
        <w:rPr>
          <w:sz w:val="22"/>
          <w:szCs w:val="22"/>
        </w:rPr>
      </w:pPr>
      <w:r w:rsidRPr="001A1F53">
        <w:rPr>
          <w:sz w:val="22"/>
          <w:szCs w:val="22"/>
        </w:rPr>
        <w:t>2.</w:t>
      </w:r>
      <w:r w:rsidRPr="001A1F53">
        <w:rPr>
          <w:sz w:val="22"/>
          <w:szCs w:val="22"/>
        </w:rPr>
        <w:tab/>
        <w:t>The Risk Manager shall also notify:</w:t>
      </w:r>
    </w:p>
    <w:p w14:paraId="5043A209" w14:textId="77777777" w:rsidR="00E8107A" w:rsidRPr="001A1F53" w:rsidRDefault="00E8107A" w:rsidP="00E8107A">
      <w:pPr>
        <w:pStyle w:val="Text2"/>
        <w:tabs>
          <w:tab w:val="left" w:pos="2880"/>
        </w:tabs>
        <w:spacing w:before="240" w:after="0"/>
        <w:ind w:left="2880" w:hanging="720"/>
        <w:jc w:val="both"/>
        <w:rPr>
          <w:sz w:val="22"/>
          <w:szCs w:val="22"/>
        </w:rPr>
      </w:pPr>
      <w:r w:rsidRPr="001A1F53">
        <w:rPr>
          <w:sz w:val="22"/>
          <w:szCs w:val="22"/>
        </w:rPr>
        <w:t xml:space="preserve">a. </w:t>
      </w:r>
      <w:r w:rsidRPr="001A1F53">
        <w:rPr>
          <w:sz w:val="22"/>
          <w:szCs w:val="22"/>
        </w:rPr>
        <w:tab/>
        <w:t xml:space="preserve">Director of Revenue Analysis (DRA) or designee, to place the bill on hold while the potential Sentinel Event is being investigated as described below; </w:t>
      </w:r>
    </w:p>
    <w:p w14:paraId="4DAC126E" w14:textId="77777777" w:rsidR="00E8107A" w:rsidRPr="001A1F53" w:rsidRDefault="00E8107A" w:rsidP="00E8107A">
      <w:pPr>
        <w:pStyle w:val="Text2"/>
        <w:tabs>
          <w:tab w:val="left" w:pos="2880"/>
        </w:tabs>
        <w:spacing w:before="240" w:after="0"/>
        <w:ind w:left="2880" w:hanging="720"/>
        <w:jc w:val="both"/>
        <w:rPr>
          <w:sz w:val="22"/>
          <w:szCs w:val="22"/>
        </w:rPr>
      </w:pPr>
      <w:r w:rsidRPr="001A1F53">
        <w:rPr>
          <w:sz w:val="22"/>
          <w:szCs w:val="22"/>
        </w:rPr>
        <w:t>b.</w:t>
      </w:r>
      <w:r w:rsidRPr="001A1F53">
        <w:rPr>
          <w:sz w:val="22"/>
          <w:szCs w:val="22"/>
        </w:rPr>
        <w:tab/>
        <w:t>The Litigation Manager or defense counsel as appropriate; and</w:t>
      </w:r>
    </w:p>
    <w:p w14:paraId="5D4BD3A9" w14:textId="77777777" w:rsidR="00E8107A" w:rsidRPr="001A1F53" w:rsidRDefault="00E8107A" w:rsidP="00E8107A">
      <w:pPr>
        <w:pStyle w:val="Text2"/>
        <w:tabs>
          <w:tab w:val="left" w:pos="2880"/>
        </w:tabs>
        <w:spacing w:before="240" w:after="0"/>
        <w:ind w:left="2880" w:hanging="720"/>
        <w:jc w:val="both"/>
        <w:rPr>
          <w:sz w:val="22"/>
          <w:szCs w:val="22"/>
        </w:rPr>
      </w:pPr>
      <w:r w:rsidRPr="001A1F53">
        <w:rPr>
          <w:sz w:val="22"/>
          <w:szCs w:val="22"/>
        </w:rPr>
        <w:t>c.</w:t>
      </w:r>
      <w:r w:rsidRPr="001A1F53">
        <w:rPr>
          <w:sz w:val="22"/>
          <w:szCs w:val="22"/>
        </w:rPr>
        <w:tab/>
        <w:t>The Hospital’s Regulatory and Regional Counsel as appropriate.</w:t>
      </w:r>
    </w:p>
    <w:p w14:paraId="4103E218" w14:textId="77777777" w:rsidR="00E8107A" w:rsidRPr="001A1F53" w:rsidRDefault="00E8107A" w:rsidP="00E8107A">
      <w:pPr>
        <w:pStyle w:val="Text2"/>
        <w:numPr>
          <w:ilvl w:val="0"/>
          <w:numId w:val="15"/>
        </w:numPr>
        <w:tabs>
          <w:tab w:val="left" w:pos="2880"/>
        </w:tabs>
        <w:spacing w:before="240" w:after="0"/>
        <w:jc w:val="both"/>
        <w:rPr>
          <w:sz w:val="22"/>
          <w:szCs w:val="22"/>
        </w:rPr>
      </w:pPr>
      <w:r w:rsidRPr="001A1F53">
        <w:rPr>
          <w:sz w:val="22"/>
          <w:szCs w:val="22"/>
        </w:rPr>
        <w:tab/>
        <w:t>Regional Clinical Operations Leadership as appropriate.</w:t>
      </w:r>
    </w:p>
    <w:p w14:paraId="4D059B8B" w14:textId="77777777" w:rsidR="00E8107A" w:rsidRPr="001A1F53" w:rsidRDefault="00E8107A" w:rsidP="00E8107A">
      <w:pPr>
        <w:pStyle w:val="Text2"/>
        <w:keepNext/>
        <w:tabs>
          <w:tab w:val="left" w:pos="1440"/>
        </w:tabs>
        <w:spacing w:before="240" w:after="0"/>
        <w:ind w:left="1440" w:hanging="720"/>
        <w:jc w:val="both"/>
        <w:rPr>
          <w:sz w:val="22"/>
          <w:szCs w:val="22"/>
        </w:rPr>
      </w:pPr>
      <w:r w:rsidRPr="001A1F53">
        <w:rPr>
          <w:sz w:val="22"/>
          <w:szCs w:val="22"/>
        </w:rPr>
        <w:t>D.</w:t>
      </w:r>
      <w:r w:rsidRPr="001A1F53">
        <w:rPr>
          <w:sz w:val="22"/>
          <w:szCs w:val="22"/>
        </w:rPr>
        <w:tab/>
        <w:t>Complete the Root Cause Analysis and Action Plan</w:t>
      </w:r>
    </w:p>
    <w:p w14:paraId="6B2D01C1" w14:textId="77777777" w:rsidR="00E8107A" w:rsidRPr="001A1F53" w:rsidRDefault="00E8107A" w:rsidP="00E8107A">
      <w:pPr>
        <w:pStyle w:val="Text2"/>
        <w:tabs>
          <w:tab w:val="left" w:pos="1440"/>
        </w:tabs>
        <w:spacing w:before="240" w:after="0"/>
        <w:ind w:left="1440"/>
        <w:jc w:val="both"/>
        <w:rPr>
          <w:sz w:val="22"/>
          <w:szCs w:val="22"/>
        </w:rPr>
      </w:pPr>
      <w:r w:rsidRPr="001A1F53">
        <w:rPr>
          <w:sz w:val="22"/>
          <w:szCs w:val="22"/>
        </w:rPr>
        <w:t>Within fourteen (14) calendar days of the date of event, the Risk Manager shall complete the RCA and human factors based action plan.</w:t>
      </w:r>
    </w:p>
    <w:p w14:paraId="38A93649" w14:textId="77777777" w:rsidR="00E8107A" w:rsidRPr="001A1F53" w:rsidRDefault="00E8107A" w:rsidP="00E8107A">
      <w:pPr>
        <w:pStyle w:val="1BulletOutlinelvl2"/>
        <w:numPr>
          <w:ilvl w:val="1"/>
          <w:numId w:val="9"/>
        </w:numPr>
        <w:tabs>
          <w:tab w:val="clear" w:pos="1066"/>
          <w:tab w:val="num" w:pos="1440"/>
        </w:tabs>
        <w:ind w:left="1440" w:hanging="720"/>
        <w:rPr>
          <w:sz w:val="22"/>
          <w:szCs w:val="22"/>
        </w:rPr>
      </w:pPr>
      <w:r w:rsidRPr="001A1F53">
        <w:rPr>
          <w:sz w:val="22"/>
          <w:szCs w:val="22"/>
        </w:rPr>
        <w:t>Billing Procedures for Reviewable Sentinel Events</w:t>
      </w:r>
    </w:p>
    <w:p w14:paraId="4E945B05" w14:textId="77777777" w:rsidR="00E8107A" w:rsidRPr="001A1F53" w:rsidRDefault="00E8107A" w:rsidP="00E8107A">
      <w:pPr>
        <w:autoSpaceDE w:val="0"/>
        <w:autoSpaceDN w:val="0"/>
        <w:adjustRightInd w:val="0"/>
        <w:spacing w:before="240"/>
        <w:ind w:left="1440"/>
        <w:jc w:val="both"/>
      </w:pPr>
      <w:r w:rsidRPr="001A1F53">
        <w:t xml:space="preserve">The Risk Manager shall follow the procedures outlined in Bill Hold Process for Possible Preventable Events resulting in harm </w:t>
      </w:r>
      <w:hyperlink r:id="rId18" w:history="1">
        <w:r w:rsidRPr="001A1F53">
          <w:rPr>
            <w:rStyle w:val="Hyperlink"/>
          </w:rPr>
          <w:t>CO-2.010.04</w:t>
        </w:r>
      </w:hyperlink>
      <w:r w:rsidRPr="001A1F53">
        <w:t xml:space="preserve"> to update accounts placed on bill hold as required by the notification process (see Subsection V.C.2.c.).</w:t>
      </w:r>
    </w:p>
    <w:p w14:paraId="2C74BA1E" w14:textId="77777777" w:rsidR="00E8107A" w:rsidRPr="001A1F53" w:rsidRDefault="00E8107A" w:rsidP="00E8107A">
      <w:pPr>
        <w:pStyle w:val="1BulletOutlinelvl2"/>
        <w:tabs>
          <w:tab w:val="clear" w:pos="1066"/>
          <w:tab w:val="num" w:pos="1440"/>
        </w:tabs>
        <w:ind w:left="1440" w:hanging="720"/>
        <w:rPr>
          <w:rStyle w:val="Strong"/>
          <w:b w:val="0"/>
          <w:bCs w:val="0"/>
          <w:sz w:val="22"/>
          <w:szCs w:val="22"/>
        </w:rPr>
      </w:pPr>
      <w:r w:rsidRPr="001A1F53">
        <w:rPr>
          <w:rStyle w:val="Strong"/>
          <w:sz w:val="22"/>
          <w:szCs w:val="22"/>
        </w:rPr>
        <w:t>Disclose to the Patient/Family</w:t>
      </w:r>
    </w:p>
    <w:p w14:paraId="1514C893" w14:textId="77777777" w:rsidR="00E8107A" w:rsidRPr="001A1F53" w:rsidRDefault="00E8107A" w:rsidP="00E8107A">
      <w:pPr>
        <w:pStyle w:val="Text"/>
        <w:tabs>
          <w:tab w:val="left" w:pos="1440"/>
        </w:tabs>
        <w:spacing w:before="240" w:after="0"/>
        <w:ind w:left="1440"/>
        <w:jc w:val="both"/>
        <w:rPr>
          <w:sz w:val="22"/>
          <w:szCs w:val="22"/>
        </w:rPr>
      </w:pPr>
      <w:r w:rsidRPr="001A1F53">
        <w:rPr>
          <w:sz w:val="22"/>
          <w:szCs w:val="22"/>
        </w:rPr>
        <w:t xml:space="preserve">Patients and, when appropriate, their families, shall be promptly informed about the outcomes of care, including preventable events resulting in harm. </w:t>
      </w:r>
      <w:r w:rsidRPr="001A1F53">
        <w:rPr>
          <w:sz w:val="22"/>
          <w:szCs w:val="22"/>
          <w:u w:val="single"/>
        </w:rPr>
        <w:t>All</w:t>
      </w:r>
      <w:r w:rsidRPr="001A1F53">
        <w:rPr>
          <w:sz w:val="22"/>
          <w:szCs w:val="22"/>
        </w:rPr>
        <w:t xml:space="preserve"> Preventable Events resulting in harm</w:t>
      </w:r>
      <w:r w:rsidRPr="001A1F53" w:rsidDel="00A84204">
        <w:rPr>
          <w:sz w:val="22"/>
          <w:szCs w:val="22"/>
        </w:rPr>
        <w:t xml:space="preserve"> </w:t>
      </w:r>
      <w:r w:rsidRPr="001A1F53">
        <w:rPr>
          <w:sz w:val="22"/>
          <w:szCs w:val="22"/>
        </w:rPr>
        <w:t xml:space="preserve"> shall be disclosed to the patient. In most cases, the disclosure shall be made in the ordinary course of treatment. The disclosure shall be made as described in Disclosure of Outcomes procedure </w:t>
      </w:r>
      <w:hyperlink r:id="rId19" w:history="1">
        <w:r w:rsidRPr="001A1F53">
          <w:rPr>
            <w:rStyle w:val="Hyperlink"/>
            <w:sz w:val="22"/>
            <w:szCs w:val="22"/>
          </w:rPr>
          <w:t>CO-2.010.05</w:t>
        </w:r>
      </w:hyperlink>
      <w:r w:rsidRPr="001A1F53">
        <w:rPr>
          <w:sz w:val="22"/>
          <w:szCs w:val="22"/>
        </w:rPr>
        <w:t xml:space="preserve"> if an occurrence that meets Sentinel Event definition and involves error. </w:t>
      </w:r>
      <w:r w:rsidRPr="001A1F53">
        <w:rPr>
          <w:sz w:val="22"/>
          <w:szCs w:val="22"/>
          <w:u w:val="single"/>
        </w:rPr>
        <w:t>Near miss events</w:t>
      </w:r>
      <w:r w:rsidRPr="001A1F53">
        <w:rPr>
          <w:sz w:val="22"/>
          <w:szCs w:val="22"/>
        </w:rPr>
        <w:t xml:space="preserve"> are not included in this disclosure process plan.</w:t>
      </w:r>
    </w:p>
    <w:p w14:paraId="595F614E" w14:textId="77777777" w:rsidR="00E8107A" w:rsidRPr="001A1F53" w:rsidRDefault="00E8107A" w:rsidP="00E8107A">
      <w:pPr>
        <w:pStyle w:val="1BulletOutlinelvl2"/>
        <w:tabs>
          <w:tab w:val="clear" w:pos="1066"/>
          <w:tab w:val="left" w:pos="1440"/>
        </w:tabs>
        <w:ind w:left="1440" w:hanging="720"/>
        <w:rPr>
          <w:sz w:val="22"/>
          <w:szCs w:val="22"/>
        </w:rPr>
      </w:pPr>
      <w:r w:rsidRPr="001A1F53">
        <w:rPr>
          <w:sz w:val="22"/>
          <w:szCs w:val="22"/>
        </w:rPr>
        <w:t xml:space="preserve">Immediately Review Restraint Deaths </w:t>
      </w:r>
    </w:p>
    <w:p w14:paraId="3B24C620" w14:textId="77777777" w:rsidR="00E8107A" w:rsidRPr="001A1F53" w:rsidRDefault="00E8107A" w:rsidP="00E8107A">
      <w:pPr>
        <w:pStyle w:val="1BulletOutlinelvl2"/>
        <w:numPr>
          <w:ilvl w:val="0"/>
          <w:numId w:val="0"/>
        </w:numPr>
        <w:tabs>
          <w:tab w:val="left" w:pos="1440"/>
        </w:tabs>
        <w:ind w:left="1440"/>
        <w:jc w:val="both"/>
        <w:rPr>
          <w:bCs/>
          <w:sz w:val="22"/>
          <w:szCs w:val="22"/>
        </w:rPr>
      </w:pPr>
      <w:r w:rsidRPr="001A1F53">
        <w:rPr>
          <w:sz w:val="22"/>
          <w:szCs w:val="22"/>
        </w:rPr>
        <w:lastRenderedPageBreak/>
        <w:t>If the potential Sentinel Event involves</w:t>
      </w:r>
      <w:r w:rsidRPr="001A1F53">
        <w:rPr>
          <w:bCs/>
          <w:sz w:val="22"/>
          <w:szCs w:val="22"/>
        </w:rPr>
        <w:t xml:space="preserve"> death in or resulting from restraints (see Clinical Operations policy </w:t>
      </w:r>
      <w:hyperlink r:id="rId20" w:history="1">
        <w:r w:rsidRPr="001A1F53">
          <w:rPr>
            <w:rStyle w:val="Hyperlink"/>
            <w:bCs/>
            <w:sz w:val="22"/>
            <w:szCs w:val="22"/>
          </w:rPr>
          <w:t>CO-4.004 Restraint and Seclusion</w:t>
        </w:r>
      </w:hyperlink>
      <w:r w:rsidRPr="001A1F53">
        <w:rPr>
          <w:bCs/>
          <w:sz w:val="22"/>
          <w:szCs w:val="22"/>
        </w:rPr>
        <w:t xml:space="preserve"> to determine reportability based on type of restraint used),</w:t>
      </w:r>
    </w:p>
    <w:p w14:paraId="0CD19CD5" w14:textId="77777777" w:rsidR="00E8107A" w:rsidRPr="001A1F53" w:rsidRDefault="00E8107A" w:rsidP="00E8107A">
      <w:pPr>
        <w:pStyle w:val="1BulletOutlinelvl2"/>
        <w:numPr>
          <w:ilvl w:val="0"/>
          <w:numId w:val="0"/>
        </w:numPr>
        <w:ind w:left="1440"/>
        <w:jc w:val="both"/>
        <w:rPr>
          <w:sz w:val="22"/>
          <w:szCs w:val="22"/>
        </w:rPr>
      </w:pPr>
      <w:r w:rsidRPr="001A1F53">
        <w:rPr>
          <w:sz w:val="22"/>
          <w:szCs w:val="22"/>
        </w:rPr>
        <w:t xml:space="preserve">the Hospital’s Risk Manager shall immediately consult with Home Office Senior Director of Quality or Regional Quality Management to determine whether the restraint death requires a report to CMS in accordance with </w:t>
      </w:r>
      <w:hyperlink r:id="rId21" w:anchor="42:5.0.1.1.1.2.4.3" w:history="1">
        <w:r w:rsidRPr="001A1F53">
          <w:rPr>
            <w:rStyle w:val="Hyperlink"/>
            <w:sz w:val="22"/>
            <w:szCs w:val="22"/>
          </w:rPr>
          <w:t>42 C.F.R. 482.13</w:t>
        </w:r>
      </w:hyperlink>
      <w:r w:rsidRPr="001A1F53">
        <w:rPr>
          <w:sz w:val="22"/>
          <w:szCs w:val="22"/>
        </w:rPr>
        <w:t>.</w:t>
      </w:r>
    </w:p>
    <w:p w14:paraId="607A5DBC" w14:textId="77777777" w:rsidR="00E8107A" w:rsidRPr="001A1F53" w:rsidRDefault="00E8107A" w:rsidP="00E8107A">
      <w:pPr>
        <w:pStyle w:val="1BulletOutlinelvl2"/>
        <w:numPr>
          <w:ilvl w:val="0"/>
          <w:numId w:val="0"/>
        </w:numPr>
        <w:ind w:left="1440" w:hanging="720"/>
        <w:jc w:val="both"/>
        <w:rPr>
          <w:sz w:val="22"/>
          <w:szCs w:val="22"/>
        </w:rPr>
      </w:pPr>
      <w:r w:rsidRPr="001A1F53">
        <w:rPr>
          <w:sz w:val="22"/>
          <w:szCs w:val="22"/>
        </w:rPr>
        <w:t>H.</w:t>
      </w:r>
      <w:r w:rsidRPr="001A1F53">
        <w:rPr>
          <w:sz w:val="22"/>
          <w:szCs w:val="22"/>
        </w:rPr>
        <w:tab/>
        <w:t>Review Potential Sentinel Events with Regulatory Counsel to Determine State Reporting Obligations</w:t>
      </w:r>
    </w:p>
    <w:p w14:paraId="516AE4A4" w14:textId="77777777" w:rsidR="00E8107A" w:rsidRPr="001A1F53" w:rsidRDefault="00E8107A" w:rsidP="00E8107A">
      <w:pPr>
        <w:pStyle w:val="Text2"/>
        <w:spacing w:before="240" w:after="0"/>
        <w:ind w:left="1440"/>
        <w:jc w:val="both"/>
        <w:rPr>
          <w:sz w:val="22"/>
          <w:szCs w:val="22"/>
        </w:rPr>
      </w:pPr>
      <w:r w:rsidRPr="001A1F53">
        <w:rPr>
          <w:sz w:val="22"/>
          <w:szCs w:val="22"/>
        </w:rPr>
        <w:t>The Risk Manager shall immediately consult with Regulatory Counsel when the Risk Manager believes that state law requires a report of a Sentinel Event.</w:t>
      </w:r>
    </w:p>
    <w:p w14:paraId="0CD23E46" w14:textId="77777777" w:rsidR="00E8107A" w:rsidRPr="001A1F53" w:rsidRDefault="00E8107A" w:rsidP="00E8107A">
      <w:pPr>
        <w:pStyle w:val="1BulletOutlinelvl2"/>
        <w:keepNext/>
        <w:numPr>
          <w:ilvl w:val="1"/>
          <w:numId w:val="14"/>
        </w:numPr>
        <w:tabs>
          <w:tab w:val="clear" w:pos="1066"/>
          <w:tab w:val="num" w:pos="1440"/>
        </w:tabs>
        <w:ind w:left="1440" w:hanging="720"/>
        <w:jc w:val="both"/>
        <w:rPr>
          <w:sz w:val="22"/>
          <w:szCs w:val="22"/>
        </w:rPr>
      </w:pPr>
      <w:r w:rsidRPr="001A1F53">
        <w:rPr>
          <w:sz w:val="22"/>
          <w:szCs w:val="22"/>
        </w:rPr>
        <w:t>Refer the Event to the Appropriate Medical Staff/Nursing Committee</w:t>
      </w:r>
    </w:p>
    <w:p w14:paraId="78ABBCF9" w14:textId="77777777" w:rsidR="00E8107A" w:rsidRPr="001A1F53" w:rsidRDefault="00E8107A" w:rsidP="00E8107A">
      <w:pPr>
        <w:pStyle w:val="1BulletOutlinelvl2"/>
        <w:numPr>
          <w:ilvl w:val="0"/>
          <w:numId w:val="0"/>
        </w:numPr>
        <w:ind w:left="1440"/>
        <w:jc w:val="both"/>
        <w:rPr>
          <w:sz w:val="22"/>
          <w:szCs w:val="22"/>
        </w:rPr>
      </w:pPr>
      <w:r w:rsidRPr="001A1F53">
        <w:rPr>
          <w:sz w:val="22"/>
          <w:szCs w:val="22"/>
        </w:rPr>
        <w:t>If the Event Report requires physician or nursing review, the Risk Manager shall forward the event information to the appropriate medical staff/nursing review committee for follow-up.</w:t>
      </w:r>
    </w:p>
    <w:p w14:paraId="6F7D897A" w14:textId="77777777" w:rsidR="00E8107A" w:rsidRPr="001A1F53" w:rsidRDefault="00E8107A" w:rsidP="00E8107A">
      <w:pPr>
        <w:pStyle w:val="Default"/>
        <w:widowControl/>
        <w:numPr>
          <w:ilvl w:val="1"/>
          <w:numId w:val="10"/>
        </w:numPr>
        <w:spacing w:before="240"/>
        <w:rPr>
          <w:sz w:val="22"/>
          <w:szCs w:val="22"/>
        </w:rPr>
      </w:pPr>
      <w:r w:rsidRPr="001A1F53">
        <w:rPr>
          <w:sz w:val="22"/>
          <w:szCs w:val="22"/>
        </w:rPr>
        <w:t xml:space="preserve">Responsible Person </w:t>
      </w:r>
    </w:p>
    <w:p w14:paraId="3E0FF240" w14:textId="77777777" w:rsidR="00E8107A" w:rsidRPr="001A1F53" w:rsidRDefault="00E8107A" w:rsidP="00E8107A">
      <w:pPr>
        <w:pStyle w:val="Default"/>
        <w:widowControl/>
        <w:spacing w:before="240"/>
        <w:ind w:left="1440"/>
        <w:jc w:val="both"/>
        <w:rPr>
          <w:sz w:val="22"/>
          <w:szCs w:val="22"/>
        </w:rPr>
      </w:pPr>
      <w:r w:rsidRPr="001A1F53">
        <w:rPr>
          <w:sz w:val="22"/>
          <w:szCs w:val="22"/>
        </w:rPr>
        <w:t xml:space="preserve">The Risk Manager is responsible for ensuring that all individuals adhere to the requirements of this policy, that these procedures are implemented and followed at the Hospital and that instances of non-compliance with this policy are reported to the </w:t>
      </w:r>
      <w:r w:rsidRPr="001A1F53">
        <w:rPr>
          <w:b/>
          <w:bCs/>
          <w:color w:val="0000FF"/>
          <w:sz w:val="22"/>
          <w:szCs w:val="22"/>
          <w:u w:val="single"/>
        </w:rPr>
        <w:t>[insert title of senior individual with leadership/operational oversight for the area]</w:t>
      </w:r>
      <w:r w:rsidRPr="001A1F53">
        <w:rPr>
          <w:sz w:val="22"/>
          <w:szCs w:val="22"/>
        </w:rPr>
        <w:t xml:space="preserve">. </w:t>
      </w:r>
    </w:p>
    <w:p w14:paraId="04CD4E81" w14:textId="77777777" w:rsidR="00E8107A" w:rsidRPr="001A1F53" w:rsidRDefault="00E8107A" w:rsidP="00E8107A">
      <w:pPr>
        <w:pStyle w:val="Default"/>
        <w:keepNext/>
        <w:widowControl/>
        <w:numPr>
          <w:ilvl w:val="1"/>
          <w:numId w:val="11"/>
        </w:numPr>
        <w:spacing w:before="240"/>
        <w:jc w:val="both"/>
        <w:rPr>
          <w:sz w:val="22"/>
          <w:szCs w:val="22"/>
        </w:rPr>
      </w:pPr>
      <w:r w:rsidRPr="001A1F53">
        <w:rPr>
          <w:sz w:val="22"/>
          <w:szCs w:val="22"/>
        </w:rPr>
        <w:t>Auditing and Monitoring</w:t>
      </w:r>
    </w:p>
    <w:p w14:paraId="534968C1" w14:textId="77777777" w:rsidR="00E8107A" w:rsidRPr="001A1F53" w:rsidRDefault="00E8107A" w:rsidP="00E8107A">
      <w:pPr>
        <w:keepNext/>
        <w:autoSpaceDE w:val="0"/>
        <w:autoSpaceDN w:val="0"/>
        <w:adjustRightInd w:val="0"/>
        <w:spacing w:before="240"/>
        <w:ind w:left="1440"/>
        <w:jc w:val="both"/>
        <w:rPr>
          <w:color w:val="000000"/>
        </w:rPr>
      </w:pPr>
      <w:r w:rsidRPr="001A1F53">
        <w:rPr>
          <w:color w:val="000000"/>
        </w:rPr>
        <w:t>Audit Services will audit compliance with this policy.</w:t>
      </w:r>
    </w:p>
    <w:p w14:paraId="42448F4D" w14:textId="77777777" w:rsidR="00E8107A" w:rsidRPr="001A1F53" w:rsidRDefault="00E8107A" w:rsidP="00E8107A">
      <w:pPr>
        <w:pStyle w:val="1BulletOutlinelvl2"/>
        <w:numPr>
          <w:ilvl w:val="1"/>
          <w:numId w:val="12"/>
        </w:numPr>
        <w:tabs>
          <w:tab w:val="clear" w:pos="1066"/>
          <w:tab w:val="num" w:pos="1440"/>
        </w:tabs>
        <w:ind w:left="1440" w:hanging="720"/>
        <w:rPr>
          <w:sz w:val="22"/>
          <w:szCs w:val="22"/>
        </w:rPr>
      </w:pPr>
      <w:r w:rsidRPr="001A1F53">
        <w:rPr>
          <w:sz w:val="22"/>
          <w:szCs w:val="22"/>
        </w:rPr>
        <w:t>Enforcement</w:t>
      </w:r>
    </w:p>
    <w:p w14:paraId="5B3A58FC" w14:textId="77777777" w:rsidR="00E8107A" w:rsidRPr="001A1F53" w:rsidRDefault="00E8107A" w:rsidP="00E8107A">
      <w:pPr>
        <w:tabs>
          <w:tab w:val="left" w:pos="540"/>
        </w:tabs>
        <w:suppressAutoHyphens/>
        <w:spacing w:before="240"/>
        <w:ind w:left="1440"/>
        <w:jc w:val="both"/>
      </w:pPr>
      <w:r w:rsidRPr="001A1F53">
        <w:t xml:space="preserve">All employees whose responsibilities are affected by this policy are expected to be familiar with the basic procedures and responsibilities created by this policy. Failure to comply with this policy will be subject to appropriate performance management pursuant to all applicable policies and procedures, including the Medical Staff Bylaws, Rules and Regulations.  </w:t>
      </w:r>
    </w:p>
    <w:p w14:paraId="6874977B" w14:textId="77777777" w:rsidR="00E8107A" w:rsidRPr="001A1F53" w:rsidRDefault="00E8107A" w:rsidP="00E8107A">
      <w:pPr>
        <w:pStyle w:val="1BulletOutline"/>
        <w:tabs>
          <w:tab w:val="clear" w:pos="720"/>
        </w:tabs>
        <w:ind w:left="720" w:hanging="720"/>
        <w:rPr>
          <w:sz w:val="22"/>
          <w:szCs w:val="22"/>
        </w:rPr>
      </w:pPr>
      <w:r w:rsidRPr="001A1F53">
        <w:rPr>
          <w:sz w:val="22"/>
          <w:szCs w:val="22"/>
        </w:rPr>
        <w:t>REFERENCES:</w:t>
      </w:r>
    </w:p>
    <w:p w14:paraId="5BE44504" w14:textId="77777777" w:rsidR="00E8107A" w:rsidRPr="001A1F53" w:rsidRDefault="00E8107A" w:rsidP="00E8107A">
      <w:pPr>
        <w:pStyle w:val="1BulletOutlinelvl3"/>
        <w:numPr>
          <w:ilvl w:val="0"/>
          <w:numId w:val="0"/>
        </w:numPr>
        <w:tabs>
          <w:tab w:val="left" w:pos="1800"/>
        </w:tabs>
        <w:spacing w:before="120"/>
        <w:rPr>
          <w:sz w:val="22"/>
          <w:szCs w:val="22"/>
        </w:rPr>
      </w:pPr>
      <w:r w:rsidRPr="001A1F53">
        <w:rPr>
          <w:sz w:val="22"/>
          <w:szCs w:val="22"/>
        </w:rPr>
        <w:t xml:space="preserve">- </w:t>
      </w:r>
      <w:hyperlink r:id="rId22" w:history="1">
        <w:r w:rsidRPr="001A1F53">
          <w:rPr>
            <w:rStyle w:val="Hyperlink"/>
            <w:sz w:val="22"/>
            <w:szCs w:val="22"/>
          </w:rPr>
          <w:t>The Joint Commission</w:t>
        </w:r>
      </w:hyperlink>
      <w:r w:rsidRPr="001A1F53">
        <w:rPr>
          <w:sz w:val="22"/>
          <w:szCs w:val="22"/>
        </w:rPr>
        <w:t xml:space="preserve"> (SE Chapter), 2015</w:t>
      </w:r>
    </w:p>
    <w:p w14:paraId="5F38838B" w14:textId="77777777" w:rsidR="00E8107A" w:rsidRPr="001A1F53" w:rsidRDefault="00E8107A" w:rsidP="00E8107A">
      <w:pPr>
        <w:pStyle w:val="1BulletOutlinelvl3"/>
        <w:numPr>
          <w:ilvl w:val="0"/>
          <w:numId w:val="0"/>
        </w:numPr>
        <w:tabs>
          <w:tab w:val="left" w:pos="1800"/>
        </w:tabs>
        <w:spacing w:before="120"/>
        <w:rPr>
          <w:sz w:val="22"/>
          <w:szCs w:val="22"/>
        </w:rPr>
      </w:pPr>
      <w:r w:rsidRPr="001A1F53">
        <w:rPr>
          <w:sz w:val="22"/>
          <w:szCs w:val="22"/>
        </w:rPr>
        <w:t xml:space="preserve">- </w:t>
      </w:r>
      <w:hyperlink r:id="rId23" w:history="1">
        <w:r w:rsidRPr="001A1F53">
          <w:rPr>
            <w:rStyle w:val="Hyperlink"/>
            <w:sz w:val="22"/>
            <w:szCs w:val="22"/>
          </w:rPr>
          <w:t>National Quality Forum  Serious Reportable Events, 2012</w:t>
        </w:r>
      </w:hyperlink>
    </w:p>
    <w:p w14:paraId="161B4437" w14:textId="77777777" w:rsidR="00E8107A" w:rsidRPr="001A1F53" w:rsidRDefault="00E8107A" w:rsidP="00E8107A">
      <w:pPr>
        <w:pStyle w:val="1BulletOutlinelvl3"/>
        <w:numPr>
          <w:ilvl w:val="0"/>
          <w:numId w:val="0"/>
        </w:numPr>
        <w:tabs>
          <w:tab w:val="left" w:pos="1800"/>
        </w:tabs>
        <w:spacing w:before="120"/>
        <w:rPr>
          <w:sz w:val="22"/>
          <w:szCs w:val="22"/>
        </w:rPr>
      </w:pPr>
      <w:r w:rsidRPr="001A1F53">
        <w:rPr>
          <w:sz w:val="22"/>
          <w:szCs w:val="22"/>
        </w:rPr>
        <w:t xml:space="preserve">- </w:t>
      </w:r>
      <w:hyperlink r:id="rId24" w:history="1">
        <w:r w:rsidRPr="001A1F53">
          <w:rPr>
            <w:rStyle w:val="Hyperlink"/>
            <w:sz w:val="22"/>
            <w:szCs w:val="22"/>
          </w:rPr>
          <w:t>Regulatory Compliance policy COMP-RCC 4.21 Internal Reporting of Potential Compliance Issues</w:t>
        </w:r>
      </w:hyperlink>
    </w:p>
    <w:p w14:paraId="2F14A7DB" w14:textId="77777777" w:rsidR="00E8107A" w:rsidRPr="001A1F53" w:rsidRDefault="00E8107A" w:rsidP="00E8107A">
      <w:pPr>
        <w:pStyle w:val="1BulletOutlinelvl3"/>
        <w:numPr>
          <w:ilvl w:val="0"/>
          <w:numId w:val="0"/>
        </w:numPr>
        <w:tabs>
          <w:tab w:val="left" w:pos="1800"/>
        </w:tabs>
        <w:spacing w:before="120"/>
        <w:rPr>
          <w:sz w:val="22"/>
          <w:szCs w:val="22"/>
        </w:rPr>
      </w:pPr>
      <w:r w:rsidRPr="001A1F53">
        <w:rPr>
          <w:sz w:val="22"/>
          <w:szCs w:val="22"/>
        </w:rPr>
        <w:t xml:space="preserve">- </w:t>
      </w:r>
      <w:hyperlink r:id="rId25" w:history="1">
        <w:r w:rsidRPr="001A1F53">
          <w:rPr>
            <w:rStyle w:val="Hyperlink"/>
            <w:sz w:val="22"/>
            <w:szCs w:val="22"/>
          </w:rPr>
          <w:t>Payments and Adjustments section, Conifer Standard Tables and Request Forms SharePoint site</w:t>
        </w:r>
      </w:hyperlink>
    </w:p>
    <w:p w14:paraId="4678470A" w14:textId="77777777" w:rsidR="00E8107A" w:rsidRPr="001A1F53" w:rsidRDefault="00E8107A" w:rsidP="00E8107A">
      <w:pPr>
        <w:pStyle w:val="1BulletOutlinelvl3"/>
        <w:numPr>
          <w:ilvl w:val="0"/>
          <w:numId w:val="0"/>
        </w:numPr>
        <w:spacing w:before="120"/>
        <w:rPr>
          <w:b/>
          <w:sz w:val="22"/>
          <w:szCs w:val="22"/>
        </w:rPr>
      </w:pPr>
      <w:r w:rsidRPr="001A1F53">
        <w:rPr>
          <w:sz w:val="22"/>
          <w:szCs w:val="22"/>
        </w:rPr>
        <w:t xml:space="preserve">- </w:t>
      </w:r>
      <w:hyperlink r:id="rId26" w:anchor="42:5.0.1.1.1.2.4.3" w:history="1">
        <w:r w:rsidRPr="001A1F53">
          <w:rPr>
            <w:rStyle w:val="Hyperlink"/>
            <w:sz w:val="22"/>
            <w:szCs w:val="22"/>
          </w:rPr>
          <w:t>Medicare Conditions of Participation, Patient Rights 42 C.F.R. 482.13</w:t>
        </w:r>
      </w:hyperlink>
    </w:p>
    <w:p w14:paraId="0F4A133E" w14:textId="77777777" w:rsidR="00E8107A" w:rsidRPr="001A1F53" w:rsidRDefault="00E8107A" w:rsidP="00E8107A">
      <w:pPr>
        <w:spacing w:before="120"/>
        <w:jc w:val="both"/>
      </w:pPr>
      <w:r w:rsidRPr="001A1F53">
        <w:t xml:space="preserve">- </w:t>
      </w:r>
      <w:hyperlink r:id="rId27" w:history="1">
        <w:r w:rsidRPr="001A1F53">
          <w:rPr>
            <w:rStyle w:val="Hyperlink"/>
          </w:rPr>
          <w:t>Centers for Medicare and Medicaid Services website</w:t>
        </w:r>
      </w:hyperlink>
      <w:r w:rsidRPr="001A1F53">
        <w:t xml:space="preserve"> </w:t>
      </w:r>
    </w:p>
    <w:p w14:paraId="27D0E560" w14:textId="77777777" w:rsidR="00E8107A" w:rsidRPr="001A1F53" w:rsidRDefault="00E8107A" w:rsidP="00E8107A">
      <w:pPr>
        <w:pStyle w:val="1BulletOutlinelvl3"/>
        <w:numPr>
          <w:ilvl w:val="0"/>
          <w:numId w:val="0"/>
        </w:numPr>
        <w:tabs>
          <w:tab w:val="left" w:pos="720"/>
        </w:tabs>
        <w:spacing w:before="120"/>
        <w:rPr>
          <w:sz w:val="22"/>
          <w:szCs w:val="22"/>
        </w:rPr>
      </w:pPr>
      <w:r w:rsidRPr="001A1F53">
        <w:rPr>
          <w:b/>
          <w:sz w:val="22"/>
          <w:szCs w:val="22"/>
        </w:rPr>
        <w:t xml:space="preserve">- </w:t>
      </w:r>
      <w:hyperlink r:id="rId28" w:history="1">
        <w:r w:rsidRPr="001A1F53">
          <w:rPr>
            <w:rStyle w:val="Hyperlink"/>
            <w:sz w:val="22"/>
            <w:szCs w:val="22"/>
          </w:rPr>
          <w:t>Standards of Conduct</w:t>
        </w:r>
      </w:hyperlink>
    </w:p>
    <w:p w14:paraId="13FC6207" w14:textId="77777777" w:rsidR="00E8107A" w:rsidRPr="001A1F53" w:rsidRDefault="00E8107A" w:rsidP="00E8107A">
      <w:pPr>
        <w:pStyle w:val="1BulletOutlinelvl3"/>
        <w:numPr>
          <w:ilvl w:val="0"/>
          <w:numId w:val="0"/>
        </w:numPr>
        <w:tabs>
          <w:tab w:val="left" w:pos="720"/>
        </w:tabs>
        <w:spacing w:before="120"/>
        <w:rPr>
          <w:sz w:val="22"/>
          <w:szCs w:val="22"/>
        </w:rPr>
      </w:pPr>
      <w:r w:rsidRPr="001A1F53">
        <w:rPr>
          <w:sz w:val="22"/>
          <w:szCs w:val="22"/>
        </w:rPr>
        <w:t xml:space="preserve">- </w:t>
      </w:r>
      <w:hyperlink r:id="rId29" w:history="1">
        <w:r w:rsidRPr="001A1F53">
          <w:rPr>
            <w:rStyle w:val="Hyperlink"/>
            <w:sz w:val="22"/>
            <w:szCs w:val="22"/>
          </w:rPr>
          <w:t>Quality, Compliance and Ethics Program Charter</w:t>
        </w:r>
      </w:hyperlink>
    </w:p>
    <w:p w14:paraId="54496B54" w14:textId="77777777" w:rsidR="00E8107A" w:rsidRPr="001A1F53" w:rsidRDefault="00E8107A" w:rsidP="00E8107A">
      <w:pPr>
        <w:pStyle w:val="1BulletOutline"/>
        <w:numPr>
          <w:ilvl w:val="0"/>
          <w:numId w:val="0"/>
        </w:numPr>
        <w:spacing w:before="120"/>
        <w:rPr>
          <w:b w:val="0"/>
          <w:caps w:val="0"/>
          <w:sz w:val="22"/>
          <w:szCs w:val="22"/>
        </w:rPr>
      </w:pPr>
      <w:r w:rsidRPr="001A1F53">
        <w:rPr>
          <w:b w:val="0"/>
          <w:bCs w:val="0"/>
          <w:caps w:val="0"/>
          <w:sz w:val="22"/>
          <w:szCs w:val="22"/>
        </w:rPr>
        <w:lastRenderedPageBreak/>
        <w:t xml:space="preserve">- </w:t>
      </w:r>
      <w:hyperlink r:id="rId30" w:history="1">
        <w:r w:rsidRPr="001A1F53">
          <w:rPr>
            <w:rStyle w:val="Hyperlink"/>
            <w:b w:val="0"/>
            <w:sz w:val="22"/>
            <w:szCs w:val="22"/>
          </w:rPr>
          <w:t>CO-2.010.01 T</w:t>
        </w:r>
        <w:r w:rsidRPr="001A1F53">
          <w:rPr>
            <w:rStyle w:val="Hyperlink"/>
            <w:b w:val="0"/>
            <w:caps w:val="0"/>
            <w:sz w:val="22"/>
            <w:szCs w:val="22"/>
          </w:rPr>
          <w:t>he</w:t>
        </w:r>
        <w:r w:rsidRPr="001A1F53">
          <w:rPr>
            <w:rStyle w:val="Hyperlink"/>
            <w:b w:val="0"/>
            <w:sz w:val="22"/>
            <w:szCs w:val="22"/>
          </w:rPr>
          <w:t xml:space="preserve"> </w:t>
        </w:r>
        <w:r w:rsidRPr="001A1F53">
          <w:rPr>
            <w:rStyle w:val="Hyperlink"/>
            <w:b w:val="0"/>
            <w:caps w:val="0"/>
            <w:sz w:val="22"/>
            <w:szCs w:val="22"/>
          </w:rPr>
          <w:t>Joint Commission/National Quality Forum Reporting Requirements</w:t>
        </w:r>
      </w:hyperlink>
    </w:p>
    <w:p w14:paraId="1FA7459E" w14:textId="77777777" w:rsidR="00E8107A" w:rsidRPr="001A1F53" w:rsidRDefault="00E8107A" w:rsidP="00E8107A">
      <w:pPr>
        <w:pStyle w:val="1BulletOutline"/>
        <w:numPr>
          <w:ilvl w:val="0"/>
          <w:numId w:val="0"/>
        </w:numPr>
        <w:spacing w:before="120"/>
        <w:rPr>
          <w:b w:val="0"/>
          <w:caps w:val="0"/>
          <w:sz w:val="22"/>
          <w:szCs w:val="22"/>
        </w:rPr>
      </w:pPr>
      <w:r w:rsidRPr="001A1F53">
        <w:rPr>
          <w:b w:val="0"/>
          <w:bCs w:val="0"/>
          <w:caps w:val="0"/>
          <w:sz w:val="22"/>
          <w:szCs w:val="22"/>
        </w:rPr>
        <w:t xml:space="preserve">- </w:t>
      </w:r>
      <w:hyperlink r:id="rId31" w:history="1">
        <w:r w:rsidRPr="001A1F53">
          <w:rPr>
            <w:rStyle w:val="Hyperlink"/>
            <w:b w:val="0"/>
            <w:sz w:val="22"/>
            <w:szCs w:val="22"/>
          </w:rPr>
          <w:t xml:space="preserve">CO-2.010.02 </w:t>
        </w:r>
        <w:r w:rsidRPr="001A1F53">
          <w:rPr>
            <w:rStyle w:val="Hyperlink"/>
            <w:b w:val="0"/>
            <w:caps w:val="0"/>
            <w:sz w:val="22"/>
            <w:szCs w:val="22"/>
          </w:rPr>
          <w:t>Summary of State Reporting Requirements</w:t>
        </w:r>
      </w:hyperlink>
    </w:p>
    <w:p w14:paraId="6F26788A" w14:textId="77777777" w:rsidR="00E8107A" w:rsidRPr="001A1F53" w:rsidRDefault="00E8107A" w:rsidP="00E8107A">
      <w:pPr>
        <w:pStyle w:val="1BulletOutline"/>
        <w:numPr>
          <w:ilvl w:val="0"/>
          <w:numId w:val="0"/>
        </w:numPr>
        <w:spacing w:before="120"/>
        <w:rPr>
          <w:b w:val="0"/>
          <w:caps w:val="0"/>
          <w:sz w:val="22"/>
          <w:szCs w:val="22"/>
        </w:rPr>
      </w:pPr>
      <w:r w:rsidRPr="001A1F53">
        <w:rPr>
          <w:b w:val="0"/>
          <w:bCs w:val="0"/>
          <w:caps w:val="0"/>
          <w:sz w:val="22"/>
          <w:szCs w:val="22"/>
        </w:rPr>
        <w:t xml:space="preserve">- </w:t>
      </w:r>
      <w:hyperlink r:id="rId32" w:history="1">
        <w:r w:rsidRPr="001A1F53">
          <w:rPr>
            <w:rStyle w:val="Hyperlink"/>
            <w:b w:val="0"/>
            <w:sz w:val="22"/>
            <w:szCs w:val="22"/>
          </w:rPr>
          <w:t xml:space="preserve">CO-2.010.03 </w:t>
        </w:r>
        <w:r w:rsidRPr="001A1F53">
          <w:rPr>
            <w:rStyle w:val="Hyperlink"/>
            <w:b w:val="0"/>
            <w:caps w:val="0"/>
            <w:sz w:val="22"/>
            <w:szCs w:val="22"/>
          </w:rPr>
          <w:t>Conducting a Root Cause Analysis (RCA)</w:t>
        </w:r>
      </w:hyperlink>
    </w:p>
    <w:p w14:paraId="31EB448A" w14:textId="77777777" w:rsidR="00E8107A" w:rsidRPr="001A1F53" w:rsidRDefault="00E8107A" w:rsidP="00E8107A">
      <w:pPr>
        <w:pStyle w:val="1BulletOutline"/>
        <w:numPr>
          <w:ilvl w:val="0"/>
          <w:numId w:val="0"/>
        </w:numPr>
        <w:spacing w:before="120"/>
        <w:rPr>
          <w:b w:val="0"/>
          <w:caps w:val="0"/>
          <w:sz w:val="22"/>
          <w:szCs w:val="22"/>
        </w:rPr>
      </w:pPr>
      <w:r w:rsidRPr="001A1F53">
        <w:rPr>
          <w:b w:val="0"/>
          <w:bCs w:val="0"/>
          <w:caps w:val="0"/>
          <w:sz w:val="22"/>
          <w:szCs w:val="22"/>
        </w:rPr>
        <w:t xml:space="preserve">- </w:t>
      </w:r>
      <w:hyperlink r:id="rId33" w:history="1">
        <w:r w:rsidRPr="001A1F53">
          <w:rPr>
            <w:rStyle w:val="Hyperlink"/>
            <w:b w:val="0"/>
            <w:sz w:val="22"/>
            <w:szCs w:val="22"/>
          </w:rPr>
          <w:t xml:space="preserve">CO-2.010.04 </w:t>
        </w:r>
        <w:r w:rsidRPr="001A1F53">
          <w:rPr>
            <w:rStyle w:val="Hyperlink"/>
            <w:b w:val="0"/>
            <w:caps w:val="0"/>
            <w:sz w:val="22"/>
            <w:szCs w:val="22"/>
          </w:rPr>
          <w:t>Bill Hold Process for Possible Preventable Events Resulting in Harm</w:t>
        </w:r>
      </w:hyperlink>
    </w:p>
    <w:p w14:paraId="29B12618" w14:textId="77777777" w:rsidR="00E8107A" w:rsidRPr="001A1F53" w:rsidRDefault="00E8107A" w:rsidP="00E8107A">
      <w:pPr>
        <w:pStyle w:val="1BulletOutline"/>
        <w:numPr>
          <w:ilvl w:val="0"/>
          <w:numId w:val="0"/>
        </w:numPr>
        <w:spacing w:before="120"/>
        <w:rPr>
          <w:b w:val="0"/>
          <w:sz w:val="22"/>
          <w:szCs w:val="22"/>
        </w:rPr>
      </w:pPr>
      <w:r w:rsidRPr="001A1F53">
        <w:rPr>
          <w:b w:val="0"/>
          <w:bCs w:val="0"/>
          <w:caps w:val="0"/>
          <w:sz w:val="22"/>
          <w:szCs w:val="22"/>
        </w:rPr>
        <w:t>-</w:t>
      </w:r>
      <w:r w:rsidRPr="001A1F53">
        <w:rPr>
          <w:b w:val="0"/>
          <w:sz w:val="22"/>
          <w:szCs w:val="22"/>
        </w:rPr>
        <w:t xml:space="preserve"> </w:t>
      </w:r>
      <w:hyperlink r:id="rId34" w:history="1">
        <w:r w:rsidRPr="001A1F53">
          <w:rPr>
            <w:rStyle w:val="Hyperlink"/>
            <w:b w:val="0"/>
            <w:sz w:val="22"/>
            <w:szCs w:val="22"/>
          </w:rPr>
          <w:t xml:space="preserve">CO-2.010.05 </w:t>
        </w:r>
        <w:r w:rsidRPr="001A1F53">
          <w:rPr>
            <w:rStyle w:val="Hyperlink"/>
            <w:b w:val="0"/>
            <w:caps w:val="0"/>
            <w:sz w:val="22"/>
            <w:szCs w:val="22"/>
          </w:rPr>
          <w:t>Disclosure of Outcomes to Patients</w:t>
        </w:r>
      </w:hyperlink>
    </w:p>
    <w:bookmarkEnd w:id="0"/>
    <w:p w14:paraId="317166D0" w14:textId="77777777" w:rsidR="00E8107A" w:rsidRPr="001A1F53" w:rsidRDefault="00E8107A">
      <w:pPr>
        <w:spacing w:after="0" w:line="240" w:lineRule="auto"/>
        <w:rPr>
          <w:rFonts w:ascii="Arial" w:hAnsi="Arial" w:cs="Arial"/>
        </w:rPr>
      </w:pPr>
    </w:p>
    <w:sectPr w:rsidR="00E8107A" w:rsidRPr="001A1F53" w:rsidSect="00272EFA">
      <w:headerReference w:type="default" r:id="rId35"/>
      <w:footerReference w:type="default" r:id="rId36"/>
      <w:pgSz w:w="12240" w:h="15840"/>
      <w:pgMar w:top="720" w:right="1440" w:bottom="720" w:left="144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45CAD" w14:textId="77777777" w:rsidR="00E45C2A" w:rsidRDefault="00E45C2A" w:rsidP="00133EF1">
      <w:pPr>
        <w:spacing w:after="0" w:line="240" w:lineRule="auto"/>
      </w:pPr>
      <w:r>
        <w:separator/>
      </w:r>
    </w:p>
  </w:endnote>
  <w:endnote w:type="continuationSeparator" w:id="0">
    <w:p w14:paraId="59C52BF6" w14:textId="77777777" w:rsidR="00E45C2A" w:rsidRDefault="00E45C2A" w:rsidP="0013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F81CC" w14:textId="77777777" w:rsidR="00272EFA" w:rsidRDefault="00272EFA" w:rsidP="00272EFA">
    <w:pPr>
      <w:pStyle w:val="Footer"/>
      <w:jc w:val="center"/>
    </w:pPr>
    <w:r>
      <w:fldChar w:fldCharType="begin"/>
    </w:r>
    <w:r>
      <w:instrText xml:space="preserve"> PAGE   \* MERGEFORMAT </w:instrText>
    </w:r>
    <w:r>
      <w:fldChar w:fldCharType="separate"/>
    </w:r>
    <w:r w:rsidR="007B2BFB">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3E081" w14:textId="77777777" w:rsidR="00E45C2A" w:rsidRDefault="00E45C2A" w:rsidP="00133EF1">
      <w:pPr>
        <w:spacing w:after="0" w:line="240" w:lineRule="auto"/>
      </w:pPr>
      <w:r>
        <w:separator/>
      </w:r>
    </w:p>
  </w:footnote>
  <w:footnote w:type="continuationSeparator" w:id="0">
    <w:p w14:paraId="59C0B75E" w14:textId="77777777" w:rsidR="00E45C2A" w:rsidRDefault="00E45C2A" w:rsidP="00133EF1">
      <w:pPr>
        <w:spacing w:after="0" w:line="240" w:lineRule="auto"/>
      </w:pPr>
      <w:r>
        <w:continuationSeparator/>
      </w:r>
    </w:p>
  </w:footnote>
  <w:footnote w:id="1">
    <w:p w14:paraId="0C0F36E5" w14:textId="77777777" w:rsidR="00E8107A" w:rsidRDefault="00E8107A" w:rsidP="00E8107A">
      <w:pPr>
        <w:pStyle w:val="FootnoteText"/>
        <w:jc w:val="both"/>
        <w:rPr>
          <w:sz w:val="18"/>
          <w:szCs w:val="18"/>
        </w:rPr>
      </w:pPr>
      <w:r>
        <w:rPr>
          <w:rStyle w:val="FootnoteReference"/>
          <w:sz w:val="18"/>
          <w:szCs w:val="18"/>
        </w:rPr>
        <w:footnoteRef/>
      </w:r>
      <w:r>
        <w:rPr>
          <w:sz w:val="18"/>
          <w:szCs w:val="18"/>
        </w:rPr>
        <w:t xml:space="preserve">TJC Sentinel Event Policies and Procedures are set forth in the Comprehensive Accreditation Manual for Hospitals, Sentinel Events Chapter. </w:t>
      </w:r>
    </w:p>
  </w:footnote>
  <w:footnote w:id="2">
    <w:p w14:paraId="3EB9B04E" w14:textId="77777777" w:rsidR="00E8107A" w:rsidRDefault="00E8107A" w:rsidP="00E8107A">
      <w:pPr>
        <w:pStyle w:val="FootnoteText"/>
        <w:jc w:val="both"/>
        <w:rPr>
          <w:sz w:val="18"/>
          <w:szCs w:val="18"/>
        </w:rPr>
      </w:pPr>
      <w:r>
        <w:rPr>
          <w:rStyle w:val="FootnoteReference"/>
        </w:rPr>
        <w:footnoteRef/>
      </w:r>
      <w:r>
        <w:rPr>
          <w:sz w:val="18"/>
          <w:szCs w:val="18"/>
        </w:rPr>
        <w:t xml:space="preserve">National Quality Forum Safe Practices are available through the NQF website </w:t>
      </w:r>
      <w:hyperlink r:id="rId1" w:history="1">
        <w:r w:rsidRPr="00612757">
          <w:rPr>
            <w:rStyle w:val="Hyperlink"/>
            <w:sz w:val="18"/>
            <w:szCs w:val="18"/>
          </w:rPr>
          <w:t>http://www.qualityforum.org/</w:t>
        </w:r>
      </w:hyperlink>
      <w:r>
        <w:rPr>
          <w:sz w:val="18"/>
          <w:szCs w:val="18"/>
        </w:rPr>
        <w:t xml:space="preserve"> and are summarized on </w:t>
      </w:r>
      <w:hyperlink r:id="rId2" w:history="1">
        <w:r w:rsidRPr="00C82ED6">
          <w:rPr>
            <w:rStyle w:val="Hyperlink"/>
            <w:sz w:val="18"/>
            <w:szCs w:val="18"/>
          </w:rPr>
          <w:t>CO-2.010.01</w:t>
        </w:r>
      </w:hyperlink>
      <w:r>
        <w:rPr>
          <w:sz w:val="18"/>
          <w:szCs w:val="18"/>
        </w:rPr>
        <w:t xml:space="preserve">. </w:t>
      </w:r>
    </w:p>
  </w:footnote>
  <w:footnote w:id="3">
    <w:p w14:paraId="74AD7441" w14:textId="77777777" w:rsidR="00E8107A" w:rsidRDefault="00E8107A" w:rsidP="00E8107A">
      <w:pPr>
        <w:pStyle w:val="FootnoteText"/>
        <w:jc w:val="both"/>
      </w:pPr>
      <w:r>
        <w:rPr>
          <w:rStyle w:val="FootnoteReference"/>
        </w:rPr>
        <w:t>3</w:t>
      </w:r>
      <w:r w:rsidRPr="00AD0759">
        <w:t xml:space="preserve">The Hospital’s Patient Safety Officer/Director of </w:t>
      </w:r>
      <w:r>
        <w:t xml:space="preserve">Continuous </w:t>
      </w:r>
      <w:r w:rsidRPr="00AD0759">
        <w:t>Quality Improvement may also perform the duties of the Risk Manager described in this policy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C7221" w14:textId="2E407D42" w:rsidR="00133EF1" w:rsidRPr="00272EFA" w:rsidRDefault="00272EFA" w:rsidP="00272EFA">
    <w:pPr>
      <w:pStyle w:val="Header"/>
      <w:spacing w:after="0"/>
      <w:rPr>
        <w:rFonts w:ascii="Arial" w:hAnsi="Arial" w:cs="Arial"/>
        <w:sz w:val="20"/>
        <w:szCs w:val="20"/>
      </w:rPr>
    </w:pPr>
    <w:r>
      <w:tab/>
    </w:r>
    <w:r>
      <w:tab/>
    </w:r>
    <w:r w:rsidRPr="00272EFA">
      <w:rPr>
        <w:rFonts w:ascii="Arial" w:hAnsi="Arial" w:cs="Arial"/>
        <w:sz w:val="20"/>
        <w:szCs w:val="20"/>
      </w:rPr>
      <w:t>H</w:t>
    </w:r>
    <w:r w:rsidR="00C60636">
      <w:rPr>
        <w:rFonts w:ascii="Arial" w:hAnsi="Arial" w:cs="Arial"/>
        <w:sz w:val="20"/>
        <w:szCs w:val="20"/>
      </w:rPr>
      <w:t>T</w:t>
    </w:r>
    <w:r w:rsidR="00133EF1" w:rsidRPr="00272EFA">
      <w:rPr>
        <w:rFonts w:ascii="Arial" w:hAnsi="Arial" w:cs="Arial"/>
        <w:sz w:val="20"/>
        <w:szCs w:val="20"/>
      </w:rPr>
      <w:t>10</w:t>
    </w:r>
    <w:r w:rsidRPr="00272EFA">
      <w:rPr>
        <w:rFonts w:ascii="Arial" w:hAnsi="Arial" w:cs="Arial"/>
        <w:sz w:val="20"/>
        <w:szCs w:val="20"/>
      </w:rPr>
      <w:t>8</w:t>
    </w:r>
  </w:p>
  <w:p w14:paraId="45B34CFB" w14:textId="3932EFB1" w:rsidR="00272EFA" w:rsidRPr="00272EFA" w:rsidRDefault="00C60636" w:rsidP="00272EFA">
    <w:pPr>
      <w:pStyle w:val="Header"/>
      <w:spacing w:after="0"/>
      <w:jc w:val="right"/>
      <w:rPr>
        <w:rFonts w:ascii="Arial" w:hAnsi="Arial" w:cs="Arial"/>
        <w:sz w:val="20"/>
        <w:szCs w:val="20"/>
      </w:rPr>
    </w:pPr>
    <w:r>
      <w:rPr>
        <w:rFonts w:ascii="Arial" w:hAnsi="Arial" w:cs="Arial"/>
        <w:sz w:val="20"/>
        <w:szCs w:val="20"/>
      </w:rPr>
      <w:t>January 2017</w:t>
    </w:r>
  </w:p>
  <w:p w14:paraId="4671248B" w14:textId="05496924" w:rsidR="00133EF1" w:rsidRDefault="00C60636" w:rsidP="00C60636">
    <w:pPr>
      <w:pStyle w:val="Header"/>
      <w:jc w:val="right"/>
    </w:pPr>
    <w:r>
      <w:rPr>
        <w:rFonts w:ascii="Arial" w:hAnsi="Arial" w:cs="Arial"/>
        <w:sz w:val="20"/>
        <w:szCs w:val="20"/>
      </w:rPr>
      <w:tab/>
    </w:r>
    <w:r w:rsidRPr="00C60636">
      <w:rPr>
        <w:rFonts w:ascii="Arial" w:hAnsi="Arial" w:cs="Arial"/>
        <w:sz w:val="20"/>
        <w:szCs w:val="20"/>
      </w:rPr>
      <w:t>Case Study:  Sentinel Event Policy and Procedure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30E"/>
    <w:multiLevelType w:val="hybridMultilevel"/>
    <w:tmpl w:val="7AEC2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17869"/>
    <w:multiLevelType w:val="multilevel"/>
    <w:tmpl w:val="A82C29F0"/>
    <w:lvl w:ilvl="0">
      <w:start w:val="5"/>
      <w:numFmt w:val="upperRoman"/>
      <w:lvlText w:val="%1."/>
      <w:lvlJc w:val="left"/>
      <w:pPr>
        <w:ind w:left="780" w:hanging="720"/>
      </w:pPr>
      <w:rPr>
        <w:rFonts w:hint="default"/>
      </w:rPr>
    </w:lvl>
    <w:lvl w:ilvl="1">
      <w:start w:val="10"/>
      <w:numFmt w:val="upperLetter"/>
      <w:lvlText w:val="%2."/>
      <w:lvlJc w:val="left"/>
      <w:pPr>
        <w:ind w:left="1500" w:hanging="72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2" w15:restartNumberingAfterBreak="0">
    <w:nsid w:val="1B833010"/>
    <w:multiLevelType w:val="multilevel"/>
    <w:tmpl w:val="C8CAA42A"/>
    <w:lvl w:ilvl="0">
      <w:start w:val="1"/>
      <w:numFmt w:val="upperRoman"/>
      <w:lvlText w:val="%1."/>
      <w:lvlJc w:val="left"/>
      <w:pPr>
        <w:ind w:left="720" w:hanging="720"/>
      </w:pPr>
      <w:rPr>
        <w:rFonts w:ascii="Times New Roman Bold" w:hAnsi="Times New Roman Bold" w:hint="default"/>
        <w:b/>
        <w:i w:val="0"/>
        <w:strike w:val="0"/>
        <w:dstrike w:val="0"/>
        <w:color w:val="000000"/>
        <w:sz w:val="24"/>
        <w:u w:val="none"/>
        <w:effect w:val="none"/>
      </w:rPr>
    </w:lvl>
    <w:lvl w:ilvl="1">
      <w:start w:val="11"/>
      <w:numFmt w:val="upperLetter"/>
      <w:lvlText w:val="%2."/>
      <w:lvlJc w:val="left"/>
      <w:pPr>
        <w:ind w:left="1440" w:hanging="720"/>
      </w:pPr>
      <w:rPr>
        <w:rFonts w:ascii="Times New Roman" w:hAnsi="Times New Roman" w:cs="Times New Roman" w:hint="default"/>
        <w:b w:val="0"/>
        <w:i w:val="0"/>
        <w:strike w:val="0"/>
        <w:dstrike w:val="0"/>
        <w:color w:val="000000"/>
        <w:sz w:val="24"/>
        <w:u w:val="none"/>
        <w:effect w:val="none"/>
      </w:rPr>
    </w:lvl>
    <w:lvl w:ilvl="2">
      <w:start w:val="1"/>
      <w:numFmt w:val="decimal"/>
      <w:lvlText w:val="%3."/>
      <w:lvlJc w:val="left"/>
      <w:pPr>
        <w:ind w:left="2160" w:hanging="720"/>
      </w:pPr>
      <w:rPr>
        <w:rFonts w:ascii="Times New Roman" w:hAnsi="Times New Roman" w:cs="Times New Roman" w:hint="default"/>
        <w:b w:val="0"/>
        <w:i w:val="0"/>
        <w:strike w:val="0"/>
        <w:dstrike w:val="0"/>
        <w:color w:val="000000"/>
        <w:sz w:val="24"/>
        <w:u w:val="none"/>
        <w:effect w:val="none"/>
      </w:rPr>
    </w:lvl>
    <w:lvl w:ilvl="3">
      <w:start w:val="1"/>
      <w:numFmt w:val="lowerLetter"/>
      <w:lvlText w:val="%4."/>
      <w:lvlJc w:val="left"/>
      <w:pPr>
        <w:ind w:left="2880" w:hanging="720"/>
      </w:pPr>
      <w:rPr>
        <w:rFonts w:ascii="Times" w:hAnsi="Times" w:cs="Times New Roman" w:hint="default"/>
        <w:b w:val="0"/>
        <w:i w:val="0"/>
        <w:strike w:val="0"/>
        <w:dstrike w:val="0"/>
        <w:color w:val="000000"/>
        <w:sz w:val="24"/>
        <w:u w:val="none"/>
        <w:effect w:val="none"/>
      </w:rPr>
    </w:lvl>
    <w:lvl w:ilvl="4">
      <w:start w:val="1"/>
      <w:numFmt w:val="decimal"/>
      <w:lvlText w:val="(%5)"/>
      <w:lvlJc w:val="left"/>
      <w:pPr>
        <w:ind w:left="3600" w:hanging="720"/>
      </w:pPr>
      <w:rPr>
        <w:rFonts w:ascii="Times New Roman" w:hAnsi="Times New Roman" w:cs="Times New Roman" w:hint="default"/>
        <w:b w:val="0"/>
        <w:i w:val="0"/>
        <w:strike w:val="0"/>
        <w:dstrike w:val="0"/>
        <w:color w:val="000000"/>
        <w:sz w:val="24"/>
        <w:u w:val="none"/>
        <w:effect w:val="none"/>
      </w:rPr>
    </w:lvl>
    <w:lvl w:ilvl="5">
      <w:start w:val="1"/>
      <w:numFmt w:val="lowerLetter"/>
      <w:lvlText w:val="(%6)"/>
      <w:lvlJc w:val="left"/>
      <w:pPr>
        <w:ind w:left="4320" w:hanging="720"/>
      </w:pPr>
      <w:rPr>
        <w:rFonts w:ascii="Times New Roman" w:hAnsi="Times New Roman" w:cs="Times New Roman" w:hint="default"/>
        <w:b w:val="0"/>
        <w:i w:val="0"/>
        <w:strike w:val="0"/>
        <w:dstrike w:val="0"/>
        <w:color w:val="000000"/>
        <w:sz w:val="24"/>
        <w:u w:val="none"/>
        <w:effect w:val="none"/>
      </w:rPr>
    </w:lvl>
    <w:lvl w:ilvl="6">
      <w:start w:val="1"/>
      <w:numFmt w:val="lowerRoman"/>
      <w:lvlText w:val="(%7)"/>
      <w:lvlJc w:val="left"/>
      <w:pPr>
        <w:ind w:left="5040" w:hanging="720"/>
      </w:pPr>
      <w:rPr>
        <w:rFonts w:ascii="Times New Roman" w:hAnsi="Times New Roman" w:cs="Times New Roman" w:hint="default"/>
        <w:b w:val="0"/>
        <w:i w:val="0"/>
        <w:strike w:val="0"/>
        <w:dstrike w:val="0"/>
        <w:color w:val="000000"/>
        <w:sz w:val="24"/>
        <w:u w:val="none"/>
        <w:effect w:val="none"/>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 w15:restartNumberingAfterBreak="0">
    <w:nsid w:val="2570024B"/>
    <w:multiLevelType w:val="hybridMultilevel"/>
    <w:tmpl w:val="68BECA6A"/>
    <w:lvl w:ilvl="0" w:tplc="481815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1A70B7"/>
    <w:multiLevelType w:val="hybridMultilevel"/>
    <w:tmpl w:val="C99844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813A6"/>
    <w:multiLevelType w:val="hybridMultilevel"/>
    <w:tmpl w:val="1218A7BA"/>
    <w:lvl w:ilvl="0" w:tplc="0AF224D4">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95249"/>
    <w:multiLevelType w:val="hybridMultilevel"/>
    <w:tmpl w:val="09E4CB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744D85"/>
    <w:multiLevelType w:val="hybridMultilevel"/>
    <w:tmpl w:val="7CBA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94796"/>
    <w:multiLevelType w:val="hybridMultilevel"/>
    <w:tmpl w:val="0E9A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E7CA1"/>
    <w:multiLevelType w:val="multilevel"/>
    <w:tmpl w:val="3236D2EA"/>
    <w:lvl w:ilvl="0">
      <w:start w:val="1"/>
      <w:numFmt w:val="upperRoman"/>
      <w:pStyle w:val="1BulletOutline"/>
      <w:lvlText w:val="%1."/>
      <w:lvlJc w:val="left"/>
      <w:pPr>
        <w:tabs>
          <w:tab w:val="num" w:pos="720"/>
        </w:tabs>
        <w:ind w:left="533" w:hanging="533"/>
      </w:pPr>
      <w:rPr>
        <w:rFonts w:hint="default"/>
        <w:b/>
        <w:caps/>
      </w:rPr>
    </w:lvl>
    <w:lvl w:ilvl="1">
      <w:start w:val="11"/>
      <w:numFmt w:val="upperLetter"/>
      <w:pStyle w:val="1BulletOutlinelvl2"/>
      <w:lvlText w:val="%2."/>
      <w:lvlJc w:val="left"/>
      <w:pPr>
        <w:tabs>
          <w:tab w:val="num" w:pos="1066"/>
        </w:tabs>
        <w:ind w:left="1066" w:hanging="533"/>
      </w:pPr>
      <w:rPr>
        <w:rFonts w:ascii="Times New Roman" w:eastAsia="Times New Roman" w:hAnsi="Times New Roman" w:cs="Times New Roman" w:hint="default"/>
        <w:b w:val="0"/>
        <w:caps w:val="0"/>
      </w:rPr>
    </w:lvl>
    <w:lvl w:ilvl="2">
      <w:start w:val="1"/>
      <w:numFmt w:val="decimal"/>
      <w:pStyle w:val="1BulletOutlinelvl3"/>
      <w:lvlText w:val="%3."/>
      <w:lvlJc w:val="left"/>
      <w:pPr>
        <w:tabs>
          <w:tab w:val="num" w:pos="1072"/>
        </w:tabs>
        <w:ind w:left="1072" w:hanging="532"/>
      </w:pPr>
      <w:rPr>
        <w:rFonts w:hint="default"/>
        <w:b w:val="0"/>
        <w:i w:val="0"/>
      </w:rPr>
    </w:lvl>
    <w:lvl w:ilvl="3">
      <w:start w:val="1"/>
      <w:numFmt w:val="lowerLetter"/>
      <w:lvlText w:val="%4)"/>
      <w:lvlJc w:val="left"/>
      <w:pPr>
        <w:tabs>
          <w:tab w:val="num" w:pos="2131"/>
        </w:tabs>
        <w:ind w:left="2131" w:hanging="533"/>
      </w:pPr>
      <w:rPr>
        <w:rFonts w:hint="default"/>
        <w:b w:val="0"/>
        <w:i w:val="0"/>
      </w:rPr>
    </w:lvl>
    <w:lvl w:ilvl="4">
      <w:start w:val="1"/>
      <w:numFmt w:val="lowerRoman"/>
      <w:lvlText w:val="(%5)"/>
      <w:lvlJc w:val="left"/>
      <w:pPr>
        <w:tabs>
          <w:tab w:val="num" w:pos="2851"/>
        </w:tabs>
        <w:ind w:left="2664" w:hanging="533"/>
      </w:pPr>
      <w:rPr>
        <w:rFonts w:hint="default"/>
      </w:rPr>
    </w:lvl>
    <w:lvl w:ilvl="5">
      <w:start w:val="1"/>
      <w:numFmt w:val="lowerLetter"/>
      <w:lvlText w:val="%6)"/>
      <w:lvlJc w:val="left"/>
      <w:pPr>
        <w:tabs>
          <w:tab w:val="num" w:pos="3197"/>
        </w:tabs>
        <w:ind w:left="3197" w:hanging="533"/>
      </w:pPr>
      <w:rPr>
        <w:rFonts w:hint="default"/>
      </w:rPr>
    </w:lvl>
    <w:lvl w:ilvl="6">
      <w:start w:val="1"/>
      <w:numFmt w:val="lowerRoman"/>
      <w:lvlText w:val="(%7)"/>
      <w:lvlJc w:val="left"/>
      <w:pPr>
        <w:tabs>
          <w:tab w:val="num" w:pos="3917"/>
        </w:tabs>
        <w:ind w:left="3730" w:hanging="533"/>
      </w:pPr>
      <w:rPr>
        <w:rFonts w:hint="default"/>
      </w:rPr>
    </w:lvl>
    <w:lvl w:ilvl="7">
      <w:start w:val="1"/>
      <w:numFmt w:val="lowerLetter"/>
      <w:lvlText w:val="%8)"/>
      <w:lvlJc w:val="left"/>
      <w:pPr>
        <w:tabs>
          <w:tab w:val="num" w:pos="4262"/>
        </w:tabs>
        <w:ind w:left="4262" w:hanging="532"/>
      </w:pPr>
      <w:rPr>
        <w:rFonts w:hint="default"/>
      </w:rPr>
    </w:lvl>
    <w:lvl w:ilvl="8">
      <w:start w:val="1"/>
      <w:numFmt w:val="lowerRoman"/>
      <w:lvlText w:val="(%9)"/>
      <w:lvlJc w:val="left"/>
      <w:pPr>
        <w:tabs>
          <w:tab w:val="num" w:pos="4982"/>
        </w:tabs>
        <w:ind w:left="4795" w:hanging="533"/>
      </w:pPr>
      <w:rPr>
        <w:rFonts w:hint="default"/>
      </w:rPr>
    </w:lvl>
  </w:abstractNum>
  <w:abstractNum w:abstractNumId="10" w15:restartNumberingAfterBreak="0">
    <w:nsid w:val="63771389"/>
    <w:multiLevelType w:val="hybridMultilevel"/>
    <w:tmpl w:val="34F29F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325D99"/>
    <w:multiLevelType w:val="hybridMultilevel"/>
    <w:tmpl w:val="DD0EDBC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F5E290B"/>
    <w:multiLevelType w:val="hybridMultilevel"/>
    <w:tmpl w:val="6FE66CFC"/>
    <w:lvl w:ilvl="0" w:tplc="04090001">
      <w:start w:val="1"/>
      <w:numFmt w:val="bullet"/>
      <w:lvlText w:val=""/>
      <w:lvlJc w:val="left"/>
      <w:pPr>
        <w:tabs>
          <w:tab w:val="num" w:pos="720"/>
        </w:tabs>
        <w:ind w:left="720" w:hanging="360"/>
      </w:pPr>
      <w:rPr>
        <w:rFonts w:ascii="Symbol" w:hAnsi="Symbol" w:hint="default"/>
      </w:rPr>
    </w:lvl>
    <w:lvl w:ilvl="1" w:tplc="3DAA3344">
      <w:start w:val="15"/>
      <w:numFmt w:val="decimal"/>
      <w:lvlText w:val="%2"/>
      <w:lvlJc w:val="left"/>
      <w:pPr>
        <w:tabs>
          <w:tab w:val="num" w:pos="4320"/>
        </w:tabs>
        <w:ind w:left="4320" w:hanging="36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15:restartNumberingAfterBreak="0">
    <w:nsid w:val="711217C8"/>
    <w:multiLevelType w:val="hybridMultilevel"/>
    <w:tmpl w:val="3FFE64D8"/>
    <w:lvl w:ilvl="0" w:tplc="DCD0A2F2">
      <w:start w:val="1"/>
      <w:numFmt w:val="decimal"/>
      <w:lvlText w:val="%1."/>
      <w:lvlJc w:val="left"/>
      <w:pPr>
        <w:tabs>
          <w:tab w:val="num" w:pos="960"/>
        </w:tabs>
        <w:ind w:left="960" w:hanging="360"/>
      </w:pPr>
      <w:rPr>
        <w:rFonts w:ascii="Times New Roman" w:hAnsi="Times New Roman" w:hint="default"/>
        <w:sz w:val="24"/>
      </w:rPr>
    </w:lvl>
    <w:lvl w:ilvl="1" w:tplc="0DE2101C">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6"/>
  </w:num>
  <w:num w:numId="4">
    <w:abstractNumId w:val="12"/>
  </w:num>
  <w:num w:numId="5">
    <w:abstractNumId w:val="9"/>
  </w:num>
  <w:num w:numId="6">
    <w:abstractNumId w:val="13"/>
  </w:num>
  <w:num w:numId="7">
    <w:abstractNumId w:val="11"/>
  </w:num>
  <w:num w:numId="8">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9"/>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0"/>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F4"/>
    <w:rsid w:val="00001D49"/>
    <w:rsid w:val="000164A5"/>
    <w:rsid w:val="000C17F8"/>
    <w:rsid w:val="000C2D82"/>
    <w:rsid w:val="00133EF1"/>
    <w:rsid w:val="001A1F53"/>
    <w:rsid w:val="001C5154"/>
    <w:rsid w:val="0023391A"/>
    <w:rsid w:val="00242292"/>
    <w:rsid w:val="00272EFA"/>
    <w:rsid w:val="002B6DCC"/>
    <w:rsid w:val="002B7276"/>
    <w:rsid w:val="002E0372"/>
    <w:rsid w:val="002E74A3"/>
    <w:rsid w:val="003326A4"/>
    <w:rsid w:val="00374C64"/>
    <w:rsid w:val="00376298"/>
    <w:rsid w:val="00377236"/>
    <w:rsid w:val="00377C18"/>
    <w:rsid w:val="003921F7"/>
    <w:rsid w:val="003D337B"/>
    <w:rsid w:val="004252F5"/>
    <w:rsid w:val="00443A55"/>
    <w:rsid w:val="00454FEC"/>
    <w:rsid w:val="004B20C5"/>
    <w:rsid w:val="0052293E"/>
    <w:rsid w:val="00523BE4"/>
    <w:rsid w:val="0053243F"/>
    <w:rsid w:val="00535EB9"/>
    <w:rsid w:val="005777CB"/>
    <w:rsid w:val="00594FB2"/>
    <w:rsid w:val="00596876"/>
    <w:rsid w:val="00630133"/>
    <w:rsid w:val="00642F21"/>
    <w:rsid w:val="006A1674"/>
    <w:rsid w:val="006B10D1"/>
    <w:rsid w:val="00707B70"/>
    <w:rsid w:val="0079563A"/>
    <w:rsid w:val="007B2BFB"/>
    <w:rsid w:val="007B593A"/>
    <w:rsid w:val="007B7599"/>
    <w:rsid w:val="00822217"/>
    <w:rsid w:val="00833780"/>
    <w:rsid w:val="0088454F"/>
    <w:rsid w:val="00890633"/>
    <w:rsid w:val="008E17E9"/>
    <w:rsid w:val="00911800"/>
    <w:rsid w:val="009416A2"/>
    <w:rsid w:val="009612D3"/>
    <w:rsid w:val="00970805"/>
    <w:rsid w:val="00995B1D"/>
    <w:rsid w:val="009D61C9"/>
    <w:rsid w:val="009E3BD5"/>
    <w:rsid w:val="009F2B90"/>
    <w:rsid w:val="00A009D8"/>
    <w:rsid w:val="00A047AC"/>
    <w:rsid w:val="00A25CAD"/>
    <w:rsid w:val="00A50543"/>
    <w:rsid w:val="00A538D0"/>
    <w:rsid w:val="00A57214"/>
    <w:rsid w:val="00B03F64"/>
    <w:rsid w:val="00B217F4"/>
    <w:rsid w:val="00B37FEF"/>
    <w:rsid w:val="00B564A8"/>
    <w:rsid w:val="00BC3CB5"/>
    <w:rsid w:val="00BE5B9C"/>
    <w:rsid w:val="00C173F2"/>
    <w:rsid w:val="00C34BA8"/>
    <w:rsid w:val="00C410AC"/>
    <w:rsid w:val="00C60636"/>
    <w:rsid w:val="00C80F24"/>
    <w:rsid w:val="00C85A4E"/>
    <w:rsid w:val="00D01F1E"/>
    <w:rsid w:val="00D12558"/>
    <w:rsid w:val="00D5018D"/>
    <w:rsid w:val="00DB7407"/>
    <w:rsid w:val="00DE2DA9"/>
    <w:rsid w:val="00E273B3"/>
    <w:rsid w:val="00E45C2A"/>
    <w:rsid w:val="00E8107A"/>
    <w:rsid w:val="00EA4096"/>
    <w:rsid w:val="00EC3017"/>
    <w:rsid w:val="00ED768D"/>
    <w:rsid w:val="00EF2E1B"/>
    <w:rsid w:val="00EF38FB"/>
    <w:rsid w:val="00F05F00"/>
    <w:rsid w:val="00F91E6C"/>
    <w:rsid w:val="00FA381E"/>
    <w:rsid w:val="00FB39A9"/>
    <w:rsid w:val="00FF3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FFDE48"/>
  <w15:docId w15:val="{6F970662-705C-4265-9BA0-DC2E4F3D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EF1"/>
    <w:pPr>
      <w:tabs>
        <w:tab w:val="center" w:pos="4680"/>
        <w:tab w:val="right" w:pos="9360"/>
      </w:tabs>
    </w:pPr>
  </w:style>
  <w:style w:type="character" w:customStyle="1" w:styleId="HeaderChar">
    <w:name w:val="Header Char"/>
    <w:link w:val="Header"/>
    <w:uiPriority w:val="99"/>
    <w:rsid w:val="00133EF1"/>
    <w:rPr>
      <w:sz w:val="22"/>
      <w:szCs w:val="22"/>
    </w:rPr>
  </w:style>
  <w:style w:type="paragraph" w:styleId="Footer">
    <w:name w:val="footer"/>
    <w:basedOn w:val="Normal"/>
    <w:link w:val="FooterChar"/>
    <w:uiPriority w:val="99"/>
    <w:unhideWhenUsed/>
    <w:rsid w:val="00133EF1"/>
    <w:pPr>
      <w:tabs>
        <w:tab w:val="center" w:pos="4680"/>
        <w:tab w:val="right" w:pos="9360"/>
      </w:tabs>
    </w:pPr>
  </w:style>
  <w:style w:type="character" w:customStyle="1" w:styleId="FooterChar">
    <w:name w:val="Footer Char"/>
    <w:link w:val="Footer"/>
    <w:uiPriority w:val="99"/>
    <w:rsid w:val="00133EF1"/>
    <w:rPr>
      <w:sz w:val="22"/>
      <w:szCs w:val="22"/>
    </w:rPr>
  </w:style>
  <w:style w:type="paragraph" w:styleId="BalloonText">
    <w:name w:val="Balloon Text"/>
    <w:basedOn w:val="Normal"/>
    <w:link w:val="BalloonTextChar"/>
    <w:uiPriority w:val="99"/>
    <w:semiHidden/>
    <w:unhideWhenUsed/>
    <w:rsid w:val="00133E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3EF1"/>
    <w:rPr>
      <w:rFonts w:ascii="Tahoma" w:hAnsi="Tahoma" w:cs="Tahoma"/>
      <w:sz w:val="16"/>
      <w:szCs w:val="16"/>
    </w:rPr>
  </w:style>
  <w:style w:type="paragraph" w:styleId="ListParagraph">
    <w:name w:val="List Paragraph"/>
    <w:basedOn w:val="Normal"/>
    <w:uiPriority w:val="34"/>
    <w:qFormat/>
    <w:rsid w:val="00443A55"/>
    <w:pPr>
      <w:ind w:left="720"/>
      <w:contextualSpacing/>
    </w:pPr>
  </w:style>
  <w:style w:type="paragraph" w:customStyle="1" w:styleId="1BulletOutline">
    <w:name w:val="1 Bullet Outline"/>
    <w:basedOn w:val="Normal"/>
    <w:rsid w:val="00E8107A"/>
    <w:pPr>
      <w:numPr>
        <w:numId w:val="5"/>
      </w:numPr>
      <w:spacing w:before="240" w:after="0" w:line="240" w:lineRule="auto"/>
    </w:pPr>
    <w:rPr>
      <w:rFonts w:ascii="Times New Roman" w:eastAsia="Times New Roman" w:hAnsi="Times New Roman"/>
      <w:b/>
      <w:bCs/>
      <w:caps/>
      <w:sz w:val="24"/>
      <w:szCs w:val="24"/>
    </w:rPr>
  </w:style>
  <w:style w:type="paragraph" w:customStyle="1" w:styleId="1BulletOutlinelvl3">
    <w:name w:val="1 Bullet Outline lvl3"/>
    <w:basedOn w:val="1BulletOutline"/>
    <w:rsid w:val="00E8107A"/>
    <w:pPr>
      <w:numPr>
        <w:ilvl w:val="2"/>
      </w:numPr>
    </w:pPr>
    <w:rPr>
      <w:b w:val="0"/>
      <w:caps w:val="0"/>
    </w:rPr>
  </w:style>
  <w:style w:type="paragraph" w:customStyle="1" w:styleId="Text">
    <w:name w:val="Text"/>
    <w:basedOn w:val="Normal"/>
    <w:rsid w:val="00E8107A"/>
    <w:pPr>
      <w:spacing w:before="120" w:after="120" w:line="240" w:lineRule="auto"/>
    </w:pPr>
    <w:rPr>
      <w:rFonts w:ascii="Times New Roman" w:eastAsia="Times New Roman" w:hAnsi="Times New Roman"/>
      <w:sz w:val="24"/>
      <w:szCs w:val="24"/>
    </w:rPr>
  </w:style>
  <w:style w:type="paragraph" w:customStyle="1" w:styleId="Text2">
    <w:name w:val="Text_2"/>
    <w:basedOn w:val="Text"/>
    <w:rsid w:val="00E8107A"/>
    <w:pPr>
      <w:ind w:left="1062"/>
    </w:pPr>
  </w:style>
  <w:style w:type="paragraph" w:customStyle="1" w:styleId="1BulletOutlinelvl2">
    <w:name w:val="1 Bullet Outline lvl2"/>
    <w:basedOn w:val="1BulletOutline"/>
    <w:rsid w:val="00E8107A"/>
    <w:pPr>
      <w:numPr>
        <w:ilvl w:val="1"/>
      </w:numPr>
    </w:pPr>
    <w:rPr>
      <w:b w:val="0"/>
      <w:bCs w:val="0"/>
      <w:caps w:val="0"/>
    </w:rPr>
  </w:style>
  <w:style w:type="paragraph" w:styleId="FootnoteText">
    <w:name w:val="footnote text"/>
    <w:basedOn w:val="Normal"/>
    <w:link w:val="FootnoteTextChar"/>
    <w:semiHidden/>
    <w:rsid w:val="00E8107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E8107A"/>
    <w:rPr>
      <w:rFonts w:ascii="Times New Roman" w:eastAsia="Times New Roman" w:hAnsi="Times New Roman"/>
    </w:rPr>
  </w:style>
  <w:style w:type="character" w:styleId="FootnoteReference">
    <w:name w:val="footnote reference"/>
    <w:semiHidden/>
    <w:rsid w:val="00E8107A"/>
    <w:rPr>
      <w:vertAlign w:val="superscript"/>
    </w:rPr>
  </w:style>
  <w:style w:type="character" w:styleId="Hyperlink">
    <w:name w:val="Hyperlink"/>
    <w:rsid w:val="00E8107A"/>
    <w:rPr>
      <w:color w:val="0000FF"/>
      <w:u w:val="single"/>
    </w:rPr>
  </w:style>
  <w:style w:type="character" w:styleId="Strong">
    <w:name w:val="Strong"/>
    <w:qFormat/>
    <w:rsid w:val="00E8107A"/>
    <w:rPr>
      <w:b/>
      <w:bCs/>
    </w:rPr>
  </w:style>
  <w:style w:type="paragraph" w:styleId="EndnoteText">
    <w:name w:val="endnote text"/>
    <w:basedOn w:val="Normal"/>
    <w:link w:val="EndnoteTextChar"/>
    <w:rsid w:val="00E8107A"/>
    <w:pPr>
      <w:spacing w:after="0" w:line="240" w:lineRule="auto"/>
    </w:pPr>
    <w:rPr>
      <w:rFonts w:ascii="Times New Roman" w:eastAsia="Times New Roman" w:hAnsi="Times New Roman"/>
      <w:sz w:val="24"/>
      <w:szCs w:val="20"/>
    </w:rPr>
  </w:style>
  <w:style w:type="character" w:customStyle="1" w:styleId="EndnoteTextChar">
    <w:name w:val="Endnote Text Char"/>
    <w:basedOn w:val="DefaultParagraphFont"/>
    <w:link w:val="EndnoteText"/>
    <w:rsid w:val="00E8107A"/>
    <w:rPr>
      <w:rFonts w:ascii="Times New Roman" w:eastAsia="Times New Roman" w:hAnsi="Times New Roman"/>
      <w:sz w:val="24"/>
    </w:rPr>
  </w:style>
  <w:style w:type="paragraph" w:customStyle="1" w:styleId="Default">
    <w:name w:val="Default"/>
    <w:rsid w:val="00E8107A"/>
    <w:pPr>
      <w:widowControl w:val="0"/>
      <w:autoSpaceDE w:val="0"/>
      <w:autoSpaceDN w:val="0"/>
      <w:adjustRightInd w:val="0"/>
    </w:pPr>
    <w:rPr>
      <w:rFonts w:ascii="Times New Roman" w:eastAsia="Times New Roman" w:hAnsi="Times New Roman"/>
      <w:color w:val="000000"/>
      <w:sz w:val="24"/>
      <w:szCs w:val="24"/>
    </w:rPr>
  </w:style>
  <w:style w:type="paragraph" w:customStyle="1" w:styleId="HeaderHeading1">
    <w:name w:val="Header Heading 1"/>
    <w:basedOn w:val="Normal"/>
    <w:rsid w:val="00E8107A"/>
    <w:pPr>
      <w:spacing w:before="60" w:after="60" w:line="240" w:lineRule="auto"/>
      <w:jc w:val="center"/>
    </w:pPr>
    <w:rPr>
      <w:rFonts w:ascii="Times New Roman" w:eastAsia="Times New Roman" w:hAnsi="Times New Roman"/>
      <w:b/>
      <w:bCs/>
      <w:sz w:val="28"/>
      <w:szCs w:val="24"/>
    </w:rPr>
  </w:style>
  <w:style w:type="paragraph" w:customStyle="1" w:styleId="HeaderHeading2">
    <w:name w:val="Header Heading 2"/>
    <w:basedOn w:val="HeaderHeading1"/>
    <w:rsid w:val="00E8107A"/>
    <w:pPr>
      <w:jc w:val="left"/>
    </w:pPr>
  </w:style>
  <w:style w:type="paragraph" w:customStyle="1" w:styleId="HeaderHeading3Draft">
    <w:name w:val="Header Heading 3_Draft"/>
    <w:basedOn w:val="Normal"/>
    <w:rsid w:val="00E8107A"/>
    <w:pPr>
      <w:spacing w:after="360" w:line="240" w:lineRule="auto"/>
      <w:jc w:val="center"/>
    </w:pPr>
    <w:rPr>
      <w:rFonts w:ascii="Times New Roman" w:eastAsia="Times New Roman" w:hAnsi="Times New Roman"/>
      <w:b/>
      <w:bCs/>
      <w:caps/>
      <w:color w:val="808080"/>
      <w:sz w:val="24"/>
      <w:szCs w:val="24"/>
    </w:rPr>
  </w:style>
  <w:style w:type="paragraph" w:customStyle="1" w:styleId="PgDtBlocks">
    <w:name w:val="PgDtBlocks"/>
    <w:basedOn w:val="Normal"/>
    <w:rsid w:val="00E8107A"/>
    <w:pPr>
      <w:tabs>
        <w:tab w:val="left" w:pos="1488"/>
      </w:tabs>
      <w:spacing w:before="120" w:after="120" w:line="240" w:lineRule="auto"/>
      <w:ind w:left="1483" w:hanging="1483"/>
    </w:pPr>
    <w:rPr>
      <w:rFonts w:ascii="Times New Roman" w:eastAsia="Times New Roman" w:hAnsi="Times New Roman"/>
      <w:b/>
      <w:szCs w:val="24"/>
    </w:rPr>
  </w:style>
  <w:style w:type="character" w:styleId="PageNumber">
    <w:name w:val="page number"/>
    <w:basedOn w:val="DefaultParagraphFont"/>
    <w:rsid w:val="00E8107A"/>
  </w:style>
  <w:style w:type="paragraph" w:customStyle="1" w:styleId="NoBlock">
    <w:name w:val="NoBlock"/>
    <w:basedOn w:val="PgDtBlocks"/>
    <w:rsid w:val="00E8107A"/>
    <w:pPr>
      <w:tabs>
        <w:tab w:val="clear" w:pos="1488"/>
        <w:tab w:val="left" w:pos="65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tenet.com/Lists/Policies/CO-2.010.01_TJC-NQF_Reporting_Requirements.docx" TargetMode="External"/><Relationship Id="rId13" Type="http://schemas.openxmlformats.org/officeDocument/2006/relationships/hyperlink" Target="https://portal.etenet.com/Lists/Policies/CO-2.010.01_TJC-NQF_Reporting_Requirements.docx" TargetMode="External"/><Relationship Id="rId18" Type="http://schemas.openxmlformats.org/officeDocument/2006/relationships/hyperlink" Target="https://portal.etenet.com/Lists/Policies/CO-2.010.04_Bill_Hold_Process_for_Possible_Preventable_Events.docx" TargetMode="External"/><Relationship Id="rId26" Type="http://schemas.openxmlformats.org/officeDocument/2006/relationships/hyperlink" Target="http://www.ecfr.gov/cgi-bin/text-idx?rgn=div5;node=42:5.0.1.1.1;cc=ecfr" TargetMode="External"/><Relationship Id="rId3" Type="http://schemas.openxmlformats.org/officeDocument/2006/relationships/styles" Target="styles.xml"/><Relationship Id="rId21" Type="http://schemas.openxmlformats.org/officeDocument/2006/relationships/hyperlink" Target="http://www.ecfr.gov/cgi-bin/text-idx?rgn=div5;node=42:5.0.1.1.1;cc=ecfr" TargetMode="External"/><Relationship Id="rId34" Type="http://schemas.openxmlformats.org/officeDocument/2006/relationships/hyperlink" Target="https://portal.etenet.com/Lists/Policies/CO-2.010.05_Disclosure_of_Outcomes_to_Patients.docx" TargetMode="External"/><Relationship Id="rId7" Type="http://schemas.openxmlformats.org/officeDocument/2006/relationships/endnotes" Target="endnotes.xml"/><Relationship Id="rId12" Type="http://schemas.openxmlformats.org/officeDocument/2006/relationships/hyperlink" Target="https://portal.etenet.com/Lists/Policies/CO-2.010.03_Conducting_Root_Cause_Analysis.docx" TargetMode="External"/><Relationship Id="rId17" Type="http://schemas.openxmlformats.org/officeDocument/2006/relationships/hyperlink" Target="https://portal.etenet.com/Lists/Policies/CO-2.030_Serious_Adverse_Events_Involving_Research_Study_Patients.docx" TargetMode="External"/><Relationship Id="rId25" Type="http://schemas.openxmlformats.org/officeDocument/2006/relationships/hyperlink" Target="https://sharepoint.etenet.com/sites/ConiferIT/ConiferStandardTables/default.aspx" TargetMode="External"/><Relationship Id="rId33" Type="http://schemas.openxmlformats.org/officeDocument/2006/relationships/hyperlink" Target="https://portal.etenet.com/Lists/Policies/CO-2.010.04_Bill_Hold_Process_for_Possible_Preventable_Events.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etenet.com/Lists/Policies/CO-2.008_Event_Reporting.docx" TargetMode="External"/><Relationship Id="rId20" Type="http://schemas.openxmlformats.org/officeDocument/2006/relationships/hyperlink" Target="https://portal.etenet.com/Lists/Policies/CO-4.004_Restraint_and_Seclusion.docx" TargetMode="External"/><Relationship Id="rId29" Type="http://schemas.openxmlformats.org/officeDocument/2006/relationships/hyperlink" Target="https://sharepoint.etenet.com/sites/Compliance/ComplianceCentralForms/Read/Tenet_Quality_Compliance_Ethics_Program_Chart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enet.com/Lists/Policies/CO-2.010.03_Conducting_Root_Cause_Analysis.docx" TargetMode="External"/><Relationship Id="rId24" Type="http://schemas.openxmlformats.org/officeDocument/2006/relationships/hyperlink" Target="https://portal.etenet.com/Lists/Policies/COMP-RCC_4.21_Internal_Reporting_of_Potential_Compliance_Issues.pdf" TargetMode="External"/><Relationship Id="rId32" Type="http://schemas.openxmlformats.org/officeDocument/2006/relationships/hyperlink" Target="https://portal.etenet.com/Lists/Policies/CO-2.010.03_Conducting_Root_Cause_Analysis.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etenet.com/Lists/Policies/CO-2.008_Event_Reporting.docx" TargetMode="External"/><Relationship Id="rId23" Type="http://schemas.openxmlformats.org/officeDocument/2006/relationships/hyperlink" Target="http://www.qualityforum.org/" TargetMode="External"/><Relationship Id="rId28" Type="http://schemas.openxmlformats.org/officeDocument/2006/relationships/hyperlink" Target="https://sharepoint.etenet.com/sites/Compliance/ComplianceCentralForms/Shared%20Documents/Standards%20of%20Conduct/SOC-FINAL-110515.pdf" TargetMode="External"/><Relationship Id="rId36" Type="http://schemas.openxmlformats.org/officeDocument/2006/relationships/footer" Target="footer1.xml"/><Relationship Id="rId10" Type="http://schemas.openxmlformats.org/officeDocument/2006/relationships/hyperlink" Target="https://portal.etenet.com/Lists/Policies/CO-2.010.01_TJC-NQF_Reporting_Requirements.docx" TargetMode="External"/><Relationship Id="rId19" Type="http://schemas.openxmlformats.org/officeDocument/2006/relationships/hyperlink" Target="https://portal.etenet.com/Lists/Policies/CO-2.010.05_Disclosure_of_Outcomes_to_Patients.docx" TargetMode="External"/><Relationship Id="rId31" Type="http://schemas.openxmlformats.org/officeDocument/2006/relationships/hyperlink" Target="https://portal.etenet.com/Lists/Policies/CO-2.010.02_Summary_of_State_Reporting_Requirements.docx" TargetMode="External"/><Relationship Id="rId4" Type="http://schemas.openxmlformats.org/officeDocument/2006/relationships/settings" Target="settings.xml"/><Relationship Id="rId9" Type="http://schemas.openxmlformats.org/officeDocument/2006/relationships/hyperlink" Target="https://portal.etenet.com/Lists/Policies/CO-2.010.02_Summary_of_State_Reporting_Requirements.docx" TargetMode="External"/><Relationship Id="rId14" Type="http://schemas.openxmlformats.org/officeDocument/2006/relationships/hyperlink" Target="https://portal.etenet.com/Lists/Policies/CO-2.008_Event_Reporting.docx" TargetMode="External"/><Relationship Id="rId22" Type="http://schemas.openxmlformats.org/officeDocument/2006/relationships/hyperlink" Target="http://www.jointcommission.org/" TargetMode="External"/><Relationship Id="rId27" Type="http://schemas.openxmlformats.org/officeDocument/2006/relationships/hyperlink" Target="http://www.cms.gov/" TargetMode="External"/><Relationship Id="rId30" Type="http://schemas.openxmlformats.org/officeDocument/2006/relationships/hyperlink" Target="https://portal.etenet.com/Lists/Policies/CO-2.010.01_TJC-NQF_Reporting_Requirements.docx"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ortal.etenet.com/Lists/Policies/CO-2.010.01_TJC-NQF_Reporting_Requirements.docx" TargetMode="External"/><Relationship Id="rId1" Type="http://schemas.openxmlformats.org/officeDocument/2006/relationships/hyperlink" Target="http://www.quality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2014-07-16T00:00:00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HS-108</vt:lpstr>
    </vt:vector>
  </TitlesOfParts>
  <Company>Hewlett-Packard Company</Company>
  <LinksUpToDate>false</LinksUpToDate>
  <CharactersWithSpaces>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HS-108</dc:title>
  <dc:creator>Clara Erman</dc:creator>
  <cp:lastModifiedBy>cosmas</cp:lastModifiedBy>
  <cp:revision>3</cp:revision>
  <dcterms:created xsi:type="dcterms:W3CDTF">2017-07-31T03:37:00Z</dcterms:created>
  <dcterms:modified xsi:type="dcterms:W3CDTF">2017-07-31T03:37:00Z</dcterms:modified>
</cp:coreProperties>
</file>