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00" w:type="dxa"/>
        <w:tblLook w:val="04A0" w:firstRow="1" w:lastRow="0" w:firstColumn="1" w:lastColumn="0" w:noHBand="0" w:noVBand="1"/>
      </w:tblPr>
      <w:tblGrid>
        <w:gridCol w:w="2060"/>
        <w:gridCol w:w="2040"/>
        <w:gridCol w:w="1629"/>
        <w:gridCol w:w="2069"/>
        <w:gridCol w:w="1760"/>
      </w:tblGrid>
      <w:tr w:rsidR="00172EDD" w:rsidRPr="009E282D" w:rsidTr="00172EDD">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2EDD" w:rsidRPr="009E282D" w:rsidRDefault="00A115AA" w:rsidP="009E282D">
            <w:pPr>
              <w:spacing w:after="0" w:line="480" w:lineRule="auto"/>
              <w:rPr>
                <w:rFonts w:ascii="Times New Roman" w:eastAsia="Times New Roman" w:hAnsi="Times New Roman" w:cs="Times New Roman"/>
                <w:b/>
                <w:bCs/>
                <w:color w:val="000000"/>
                <w:sz w:val="24"/>
                <w:szCs w:val="24"/>
                <w:lang w:eastAsia="en-GB"/>
              </w:rPr>
            </w:pPr>
            <w:bookmarkStart w:id="0" w:name="_GoBack"/>
            <w:bookmarkEnd w:id="0"/>
            <w:r w:rsidRPr="009E282D">
              <w:rPr>
                <w:rFonts w:ascii="Times New Roman" w:eastAsia="Times New Roman" w:hAnsi="Times New Roman" w:cs="Times New Roman"/>
                <w:b/>
                <w:bCs/>
                <w:color w:val="000000"/>
                <w:sz w:val="24"/>
                <w:szCs w:val="24"/>
                <w:lang w:eastAsia="en-GB"/>
              </w:rPr>
              <w:t>N</w:t>
            </w:r>
            <w:r w:rsidR="00172EDD" w:rsidRPr="009E282D">
              <w:rPr>
                <w:rFonts w:ascii="Times New Roman" w:eastAsia="Times New Roman" w:hAnsi="Times New Roman" w:cs="Times New Roman"/>
                <w:b/>
                <w:bCs/>
                <w:color w:val="000000"/>
                <w:sz w:val="24"/>
                <w:szCs w:val="24"/>
                <w:lang w:eastAsia="en-GB"/>
              </w:rPr>
              <w:t>ursing diagnosis</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172EDD" w:rsidRPr="009E282D" w:rsidRDefault="00A115AA" w:rsidP="009E282D">
            <w:pPr>
              <w:spacing w:after="0" w:line="480" w:lineRule="auto"/>
              <w:rPr>
                <w:rFonts w:ascii="Times New Roman" w:eastAsia="Times New Roman" w:hAnsi="Times New Roman" w:cs="Times New Roman"/>
                <w:b/>
                <w:bCs/>
                <w:color w:val="000000"/>
                <w:sz w:val="24"/>
                <w:szCs w:val="24"/>
                <w:lang w:eastAsia="en-GB"/>
              </w:rPr>
            </w:pPr>
            <w:r w:rsidRPr="009E282D">
              <w:rPr>
                <w:rFonts w:ascii="Times New Roman" w:eastAsia="Times New Roman" w:hAnsi="Times New Roman" w:cs="Times New Roman"/>
                <w:b/>
                <w:bCs/>
                <w:color w:val="000000"/>
                <w:sz w:val="24"/>
                <w:szCs w:val="24"/>
                <w:lang w:eastAsia="en-GB"/>
              </w:rPr>
              <w:t>O</w:t>
            </w:r>
            <w:r w:rsidR="00172EDD" w:rsidRPr="009E282D">
              <w:rPr>
                <w:rFonts w:ascii="Times New Roman" w:eastAsia="Times New Roman" w:hAnsi="Times New Roman" w:cs="Times New Roman"/>
                <w:b/>
                <w:bCs/>
                <w:color w:val="000000"/>
                <w:sz w:val="24"/>
                <w:szCs w:val="24"/>
                <w:lang w:eastAsia="en-GB"/>
              </w:rPr>
              <w:t>bjectives</w:t>
            </w:r>
          </w:p>
        </w:tc>
        <w:tc>
          <w:tcPr>
            <w:tcW w:w="1423" w:type="dxa"/>
            <w:tcBorders>
              <w:top w:val="single" w:sz="4" w:space="0" w:color="auto"/>
              <w:left w:val="nil"/>
              <w:bottom w:val="single" w:sz="4" w:space="0" w:color="auto"/>
              <w:right w:val="single" w:sz="4" w:space="0" w:color="auto"/>
            </w:tcBorders>
            <w:shd w:val="clear" w:color="auto" w:fill="auto"/>
            <w:vAlign w:val="bottom"/>
            <w:hideMark/>
          </w:tcPr>
          <w:p w:rsidR="00172EDD" w:rsidRPr="009E282D" w:rsidRDefault="00A115AA" w:rsidP="009E282D">
            <w:pPr>
              <w:spacing w:after="0" w:line="480" w:lineRule="auto"/>
              <w:rPr>
                <w:rFonts w:ascii="Times New Roman" w:eastAsia="Times New Roman" w:hAnsi="Times New Roman" w:cs="Times New Roman"/>
                <w:b/>
                <w:bCs/>
                <w:color w:val="000000"/>
                <w:sz w:val="24"/>
                <w:szCs w:val="24"/>
                <w:lang w:eastAsia="en-GB"/>
              </w:rPr>
            </w:pPr>
            <w:r w:rsidRPr="009E282D">
              <w:rPr>
                <w:rFonts w:ascii="Times New Roman" w:eastAsia="Times New Roman" w:hAnsi="Times New Roman" w:cs="Times New Roman"/>
                <w:b/>
                <w:bCs/>
                <w:color w:val="000000"/>
                <w:sz w:val="24"/>
                <w:szCs w:val="24"/>
                <w:lang w:eastAsia="en-GB"/>
              </w:rPr>
              <w:t>Nursing I</w:t>
            </w:r>
            <w:r w:rsidR="00172EDD" w:rsidRPr="009E282D">
              <w:rPr>
                <w:rFonts w:ascii="Times New Roman" w:eastAsia="Times New Roman" w:hAnsi="Times New Roman" w:cs="Times New Roman"/>
                <w:b/>
                <w:bCs/>
                <w:color w:val="000000"/>
                <w:sz w:val="24"/>
                <w:szCs w:val="24"/>
                <w:lang w:eastAsia="en-GB"/>
              </w:rPr>
              <w:t>nterventions</w:t>
            </w:r>
          </w:p>
        </w:tc>
        <w:tc>
          <w:tcPr>
            <w:tcW w:w="1817" w:type="dxa"/>
            <w:tcBorders>
              <w:top w:val="single" w:sz="4" w:space="0" w:color="auto"/>
              <w:left w:val="nil"/>
              <w:bottom w:val="single" w:sz="4" w:space="0" w:color="auto"/>
              <w:right w:val="single" w:sz="4" w:space="0" w:color="auto"/>
            </w:tcBorders>
            <w:shd w:val="clear" w:color="auto" w:fill="auto"/>
            <w:vAlign w:val="bottom"/>
            <w:hideMark/>
          </w:tcPr>
          <w:p w:rsidR="00172EDD" w:rsidRPr="009E282D" w:rsidRDefault="00A115AA" w:rsidP="009E282D">
            <w:pPr>
              <w:spacing w:after="0" w:line="480" w:lineRule="auto"/>
              <w:rPr>
                <w:rFonts w:ascii="Times New Roman" w:eastAsia="Times New Roman" w:hAnsi="Times New Roman" w:cs="Times New Roman"/>
                <w:b/>
                <w:bCs/>
                <w:color w:val="000000"/>
                <w:sz w:val="24"/>
                <w:szCs w:val="24"/>
                <w:lang w:eastAsia="en-GB"/>
              </w:rPr>
            </w:pPr>
            <w:r w:rsidRPr="009E282D">
              <w:rPr>
                <w:rFonts w:ascii="Times New Roman" w:eastAsia="Times New Roman" w:hAnsi="Times New Roman" w:cs="Times New Roman"/>
                <w:b/>
                <w:bCs/>
                <w:color w:val="000000"/>
                <w:sz w:val="24"/>
                <w:szCs w:val="24"/>
                <w:lang w:eastAsia="en-GB"/>
              </w:rPr>
              <w:t>R</w:t>
            </w:r>
            <w:r w:rsidR="00172EDD" w:rsidRPr="009E282D">
              <w:rPr>
                <w:rFonts w:ascii="Times New Roman" w:eastAsia="Times New Roman" w:hAnsi="Times New Roman" w:cs="Times New Roman"/>
                <w:b/>
                <w:bCs/>
                <w:color w:val="000000"/>
                <w:sz w:val="24"/>
                <w:szCs w:val="24"/>
                <w:lang w:eastAsia="en-GB"/>
              </w:rPr>
              <w:t>ationale</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172EDD" w:rsidRPr="009E282D" w:rsidRDefault="00172EDD" w:rsidP="009E282D">
            <w:pPr>
              <w:spacing w:after="0" w:line="480" w:lineRule="auto"/>
              <w:rPr>
                <w:rFonts w:ascii="Times New Roman" w:eastAsia="Times New Roman" w:hAnsi="Times New Roman" w:cs="Times New Roman"/>
                <w:b/>
                <w:bCs/>
                <w:color w:val="000000"/>
                <w:sz w:val="24"/>
                <w:szCs w:val="24"/>
                <w:lang w:eastAsia="en-GB"/>
              </w:rPr>
            </w:pPr>
            <w:r w:rsidRPr="009E282D">
              <w:rPr>
                <w:rFonts w:ascii="Times New Roman" w:eastAsia="Times New Roman" w:hAnsi="Times New Roman" w:cs="Times New Roman"/>
                <w:b/>
                <w:bCs/>
                <w:color w:val="000000"/>
                <w:sz w:val="24"/>
                <w:szCs w:val="24"/>
                <w:lang w:eastAsia="en-GB"/>
              </w:rPr>
              <w:t>Evaluation</w:t>
            </w:r>
          </w:p>
        </w:tc>
      </w:tr>
      <w:tr w:rsidR="00172EDD" w:rsidRPr="009E282D" w:rsidTr="00172EDD">
        <w:trPr>
          <w:trHeight w:val="3900"/>
        </w:trPr>
        <w:tc>
          <w:tcPr>
            <w:tcW w:w="2060" w:type="dxa"/>
            <w:tcBorders>
              <w:top w:val="nil"/>
              <w:left w:val="single" w:sz="4" w:space="0" w:color="auto"/>
              <w:bottom w:val="single" w:sz="4" w:space="0" w:color="auto"/>
              <w:right w:val="single" w:sz="4" w:space="0" w:color="auto"/>
            </w:tcBorders>
            <w:shd w:val="clear" w:color="auto" w:fill="auto"/>
            <w:vAlign w:val="bottom"/>
            <w:hideMark/>
          </w:tcPr>
          <w:p w:rsidR="00172EDD" w:rsidRPr="009E282D" w:rsidRDefault="00172EDD" w:rsidP="009E282D">
            <w:pPr>
              <w:spacing w:after="0" w:line="480" w:lineRule="auto"/>
              <w:rPr>
                <w:rFonts w:ascii="Times New Roman" w:eastAsia="Times New Roman" w:hAnsi="Times New Roman" w:cs="Times New Roman"/>
                <w:color w:val="000000"/>
                <w:sz w:val="24"/>
                <w:szCs w:val="24"/>
                <w:lang w:eastAsia="en-GB"/>
              </w:rPr>
            </w:pPr>
            <w:r w:rsidRPr="009E282D">
              <w:rPr>
                <w:rFonts w:ascii="Times New Roman" w:eastAsia="Times New Roman" w:hAnsi="Times New Roman" w:cs="Times New Roman"/>
                <w:color w:val="000000"/>
                <w:sz w:val="24"/>
                <w:szCs w:val="24"/>
                <w:lang w:eastAsia="en-GB"/>
              </w:rPr>
              <w:t>Skin Lupus Erythematosus</w:t>
            </w:r>
          </w:p>
        </w:tc>
        <w:tc>
          <w:tcPr>
            <w:tcW w:w="2040" w:type="dxa"/>
            <w:tcBorders>
              <w:top w:val="nil"/>
              <w:left w:val="nil"/>
              <w:bottom w:val="single" w:sz="4" w:space="0" w:color="auto"/>
              <w:right w:val="single" w:sz="4" w:space="0" w:color="auto"/>
            </w:tcBorders>
            <w:shd w:val="clear" w:color="auto" w:fill="auto"/>
            <w:vAlign w:val="bottom"/>
            <w:hideMark/>
          </w:tcPr>
          <w:p w:rsidR="00172EDD" w:rsidRPr="009E282D" w:rsidRDefault="00172EDD" w:rsidP="009E282D">
            <w:pPr>
              <w:spacing w:after="0" w:line="480" w:lineRule="auto"/>
              <w:rPr>
                <w:rFonts w:ascii="Times New Roman" w:eastAsia="Times New Roman" w:hAnsi="Times New Roman" w:cs="Times New Roman"/>
                <w:color w:val="000000"/>
                <w:sz w:val="24"/>
                <w:szCs w:val="24"/>
                <w:lang w:eastAsia="en-GB"/>
              </w:rPr>
            </w:pPr>
            <w:r w:rsidRPr="009E282D">
              <w:rPr>
                <w:rFonts w:ascii="Times New Roman" w:eastAsia="Times New Roman" w:hAnsi="Times New Roman" w:cs="Times New Roman"/>
                <w:color w:val="000000"/>
                <w:sz w:val="24"/>
                <w:szCs w:val="24"/>
                <w:lang w:eastAsia="en-GB"/>
              </w:rPr>
              <w:t xml:space="preserve">Clear the overriding rashes.                 Relieve the pain                     </w:t>
            </w:r>
          </w:p>
        </w:tc>
        <w:tc>
          <w:tcPr>
            <w:tcW w:w="1423" w:type="dxa"/>
            <w:tcBorders>
              <w:top w:val="nil"/>
              <w:left w:val="nil"/>
              <w:bottom w:val="single" w:sz="4" w:space="0" w:color="auto"/>
              <w:right w:val="single" w:sz="4" w:space="0" w:color="auto"/>
            </w:tcBorders>
            <w:shd w:val="clear" w:color="auto" w:fill="auto"/>
            <w:vAlign w:val="bottom"/>
            <w:hideMark/>
          </w:tcPr>
          <w:p w:rsidR="00172EDD" w:rsidRPr="009E282D" w:rsidRDefault="00172EDD" w:rsidP="009E282D">
            <w:pPr>
              <w:spacing w:after="0" w:line="480" w:lineRule="auto"/>
              <w:rPr>
                <w:rFonts w:ascii="Times New Roman" w:eastAsia="Times New Roman" w:hAnsi="Times New Roman" w:cs="Times New Roman"/>
                <w:color w:val="000000"/>
                <w:sz w:val="24"/>
                <w:szCs w:val="24"/>
                <w:lang w:eastAsia="en-GB"/>
              </w:rPr>
            </w:pPr>
            <w:r w:rsidRPr="009E282D">
              <w:rPr>
                <w:rFonts w:ascii="Times New Roman" w:eastAsia="Times New Roman" w:hAnsi="Times New Roman" w:cs="Times New Roman"/>
                <w:color w:val="000000"/>
                <w:sz w:val="24"/>
                <w:szCs w:val="24"/>
                <w:lang w:eastAsia="en-GB"/>
              </w:rPr>
              <w:t>Issuing of adequate sun protection instruction         It is managed in the short term with moderate-dose corticosteroids</w:t>
            </w:r>
          </w:p>
        </w:tc>
        <w:tc>
          <w:tcPr>
            <w:tcW w:w="1817" w:type="dxa"/>
            <w:tcBorders>
              <w:top w:val="nil"/>
              <w:left w:val="nil"/>
              <w:bottom w:val="single" w:sz="4" w:space="0" w:color="auto"/>
              <w:right w:val="single" w:sz="4" w:space="0" w:color="auto"/>
            </w:tcBorders>
            <w:shd w:val="clear" w:color="auto" w:fill="auto"/>
            <w:vAlign w:val="bottom"/>
            <w:hideMark/>
          </w:tcPr>
          <w:p w:rsidR="00172EDD" w:rsidRPr="009E282D" w:rsidRDefault="00172EDD" w:rsidP="009E282D">
            <w:pPr>
              <w:spacing w:after="0" w:line="480" w:lineRule="auto"/>
              <w:rPr>
                <w:rFonts w:ascii="Times New Roman" w:eastAsia="Times New Roman" w:hAnsi="Times New Roman" w:cs="Times New Roman"/>
                <w:color w:val="000000"/>
                <w:sz w:val="24"/>
                <w:szCs w:val="24"/>
                <w:lang w:eastAsia="en-GB"/>
              </w:rPr>
            </w:pPr>
            <w:r w:rsidRPr="009E282D">
              <w:rPr>
                <w:rFonts w:ascii="Times New Roman" w:eastAsia="Times New Roman" w:hAnsi="Times New Roman" w:cs="Times New Roman"/>
                <w:color w:val="000000"/>
                <w:sz w:val="24"/>
                <w:szCs w:val="24"/>
                <w:lang w:eastAsia="en-GB"/>
              </w:rPr>
              <w:t>Face: sparing behind ears, under nose, eyelids, hairline (make-up may be protective)</w:t>
            </w:r>
          </w:p>
        </w:tc>
        <w:tc>
          <w:tcPr>
            <w:tcW w:w="1760" w:type="dxa"/>
            <w:tcBorders>
              <w:top w:val="nil"/>
              <w:left w:val="nil"/>
              <w:bottom w:val="single" w:sz="4" w:space="0" w:color="auto"/>
              <w:right w:val="single" w:sz="4" w:space="0" w:color="auto"/>
            </w:tcBorders>
            <w:shd w:val="clear" w:color="auto" w:fill="auto"/>
            <w:vAlign w:val="bottom"/>
            <w:hideMark/>
          </w:tcPr>
          <w:p w:rsidR="00172EDD" w:rsidRPr="009E282D" w:rsidRDefault="00172EDD" w:rsidP="009E282D">
            <w:pPr>
              <w:spacing w:after="0" w:line="480" w:lineRule="auto"/>
              <w:rPr>
                <w:rFonts w:ascii="Times New Roman" w:eastAsia="Times New Roman" w:hAnsi="Times New Roman" w:cs="Times New Roman"/>
                <w:color w:val="000000"/>
                <w:sz w:val="24"/>
                <w:szCs w:val="24"/>
                <w:lang w:eastAsia="en-GB"/>
              </w:rPr>
            </w:pPr>
            <w:r w:rsidRPr="009E282D">
              <w:rPr>
                <w:rFonts w:ascii="Times New Roman" w:eastAsia="Times New Roman" w:hAnsi="Times New Roman" w:cs="Times New Roman"/>
                <w:color w:val="000000"/>
                <w:sz w:val="24"/>
                <w:szCs w:val="24"/>
                <w:lang w:eastAsia="en-GB"/>
              </w:rPr>
              <w:t xml:space="preserve">Contact allergy: Reaction to allergen exposed to light equal to unexposed site. </w:t>
            </w:r>
            <w:proofErr w:type="spellStart"/>
            <w:r w:rsidRPr="009E282D">
              <w:rPr>
                <w:rFonts w:ascii="Times New Roman" w:eastAsia="Times New Roman" w:hAnsi="Times New Roman" w:cs="Times New Roman"/>
                <w:color w:val="000000"/>
                <w:sz w:val="24"/>
                <w:szCs w:val="24"/>
                <w:lang w:eastAsia="en-GB"/>
              </w:rPr>
              <w:t>Phototests</w:t>
            </w:r>
            <w:proofErr w:type="spellEnd"/>
            <w:r w:rsidRPr="009E282D">
              <w:rPr>
                <w:rFonts w:ascii="Times New Roman" w:eastAsia="Times New Roman" w:hAnsi="Times New Roman" w:cs="Times New Roman"/>
                <w:color w:val="000000"/>
                <w:sz w:val="24"/>
                <w:szCs w:val="24"/>
                <w:lang w:eastAsia="en-GB"/>
              </w:rPr>
              <w:t xml:space="preserve"> involve exposing the skin to graduated doses of broadband and/or monochromatic ultraviolet </w:t>
            </w:r>
          </w:p>
        </w:tc>
      </w:tr>
      <w:tr w:rsidR="00172EDD" w:rsidRPr="009E282D" w:rsidTr="00172EDD">
        <w:trPr>
          <w:trHeight w:val="3300"/>
        </w:trPr>
        <w:tc>
          <w:tcPr>
            <w:tcW w:w="2060" w:type="dxa"/>
            <w:tcBorders>
              <w:top w:val="nil"/>
              <w:left w:val="single" w:sz="4" w:space="0" w:color="auto"/>
              <w:bottom w:val="single" w:sz="4" w:space="0" w:color="auto"/>
              <w:right w:val="single" w:sz="4" w:space="0" w:color="auto"/>
            </w:tcBorders>
            <w:shd w:val="clear" w:color="auto" w:fill="auto"/>
            <w:vAlign w:val="bottom"/>
            <w:hideMark/>
          </w:tcPr>
          <w:p w:rsidR="00172EDD" w:rsidRPr="009E282D" w:rsidRDefault="00172EDD" w:rsidP="009E282D">
            <w:pPr>
              <w:spacing w:after="0" w:line="480" w:lineRule="auto"/>
              <w:rPr>
                <w:rFonts w:ascii="Times New Roman" w:eastAsia="Times New Roman" w:hAnsi="Times New Roman" w:cs="Times New Roman"/>
                <w:color w:val="000000"/>
                <w:sz w:val="24"/>
                <w:szCs w:val="24"/>
                <w:lang w:eastAsia="en-GB"/>
              </w:rPr>
            </w:pPr>
            <w:r w:rsidRPr="009E282D">
              <w:rPr>
                <w:rFonts w:ascii="Times New Roman" w:eastAsia="Times New Roman" w:hAnsi="Times New Roman" w:cs="Times New Roman"/>
                <w:color w:val="000000"/>
                <w:sz w:val="24"/>
                <w:szCs w:val="24"/>
                <w:lang w:eastAsia="en-GB"/>
              </w:rPr>
              <w:t>Photosensitivity dermatitis</w:t>
            </w:r>
          </w:p>
        </w:tc>
        <w:tc>
          <w:tcPr>
            <w:tcW w:w="2040" w:type="dxa"/>
            <w:tcBorders>
              <w:top w:val="nil"/>
              <w:left w:val="nil"/>
              <w:bottom w:val="single" w:sz="4" w:space="0" w:color="auto"/>
              <w:right w:val="single" w:sz="4" w:space="0" w:color="auto"/>
            </w:tcBorders>
            <w:shd w:val="clear" w:color="auto" w:fill="auto"/>
            <w:noWrap/>
            <w:vAlign w:val="bottom"/>
            <w:hideMark/>
          </w:tcPr>
          <w:p w:rsidR="00172EDD" w:rsidRPr="009E282D" w:rsidRDefault="00172EDD" w:rsidP="009E282D">
            <w:pPr>
              <w:spacing w:after="0" w:line="480" w:lineRule="auto"/>
              <w:rPr>
                <w:rFonts w:ascii="Times New Roman" w:eastAsia="Times New Roman" w:hAnsi="Times New Roman" w:cs="Times New Roman"/>
                <w:color w:val="000000"/>
                <w:sz w:val="24"/>
                <w:szCs w:val="24"/>
                <w:lang w:eastAsia="en-GB"/>
              </w:rPr>
            </w:pPr>
            <w:r w:rsidRPr="009E282D">
              <w:rPr>
                <w:rFonts w:ascii="Times New Roman" w:eastAsia="Times New Roman" w:hAnsi="Times New Roman" w:cs="Times New Roman"/>
                <w:color w:val="000000"/>
                <w:sz w:val="24"/>
                <w:szCs w:val="24"/>
                <w:lang w:eastAsia="en-GB"/>
              </w:rPr>
              <w:t>Perform a diagnosis</w:t>
            </w:r>
          </w:p>
        </w:tc>
        <w:tc>
          <w:tcPr>
            <w:tcW w:w="1423" w:type="dxa"/>
            <w:tcBorders>
              <w:top w:val="nil"/>
              <w:left w:val="nil"/>
              <w:bottom w:val="single" w:sz="4" w:space="0" w:color="auto"/>
              <w:right w:val="single" w:sz="4" w:space="0" w:color="auto"/>
            </w:tcBorders>
            <w:shd w:val="clear" w:color="auto" w:fill="auto"/>
            <w:vAlign w:val="bottom"/>
            <w:hideMark/>
          </w:tcPr>
          <w:p w:rsidR="00172EDD" w:rsidRPr="009E282D" w:rsidRDefault="00172EDD" w:rsidP="009E282D">
            <w:pPr>
              <w:spacing w:after="0" w:line="480" w:lineRule="auto"/>
              <w:rPr>
                <w:rFonts w:ascii="Times New Roman" w:eastAsia="Times New Roman" w:hAnsi="Times New Roman" w:cs="Times New Roman"/>
                <w:color w:val="000000"/>
                <w:sz w:val="24"/>
                <w:szCs w:val="24"/>
                <w:lang w:eastAsia="en-GB"/>
              </w:rPr>
            </w:pPr>
            <w:r w:rsidRPr="009E282D">
              <w:rPr>
                <w:rFonts w:ascii="Times New Roman" w:eastAsia="Times New Roman" w:hAnsi="Times New Roman" w:cs="Times New Roman"/>
                <w:color w:val="000000"/>
                <w:sz w:val="24"/>
                <w:szCs w:val="24"/>
                <w:lang w:eastAsia="en-GB"/>
              </w:rPr>
              <w:t xml:space="preserve"> moderate-dose corticosteroids</w:t>
            </w:r>
          </w:p>
        </w:tc>
        <w:tc>
          <w:tcPr>
            <w:tcW w:w="1817" w:type="dxa"/>
            <w:tcBorders>
              <w:top w:val="nil"/>
              <w:left w:val="nil"/>
              <w:bottom w:val="single" w:sz="4" w:space="0" w:color="auto"/>
              <w:right w:val="single" w:sz="4" w:space="0" w:color="auto"/>
            </w:tcBorders>
            <w:shd w:val="clear" w:color="auto" w:fill="auto"/>
            <w:vAlign w:val="bottom"/>
            <w:hideMark/>
          </w:tcPr>
          <w:p w:rsidR="00172EDD" w:rsidRPr="009E282D" w:rsidRDefault="00172EDD" w:rsidP="009E282D">
            <w:pPr>
              <w:spacing w:after="0" w:line="480" w:lineRule="auto"/>
              <w:rPr>
                <w:rFonts w:ascii="Times New Roman" w:eastAsia="Times New Roman" w:hAnsi="Times New Roman" w:cs="Times New Roman"/>
                <w:color w:val="000000"/>
                <w:sz w:val="24"/>
                <w:szCs w:val="24"/>
                <w:lang w:eastAsia="en-GB"/>
              </w:rPr>
            </w:pPr>
            <w:r w:rsidRPr="009E282D">
              <w:rPr>
                <w:rFonts w:ascii="Times New Roman" w:eastAsia="Times New Roman" w:hAnsi="Times New Roman" w:cs="Times New Roman"/>
                <w:color w:val="000000"/>
                <w:sz w:val="24"/>
                <w:szCs w:val="24"/>
                <w:lang w:eastAsia="en-GB"/>
              </w:rPr>
              <w:t xml:space="preserve">Neck: sparing the anterior portion under the chin and including a V on the anterior chest. Feet: dorsum of feet, sparing strap </w:t>
            </w:r>
            <w:r w:rsidRPr="009E282D">
              <w:rPr>
                <w:rFonts w:ascii="Times New Roman" w:eastAsia="Times New Roman" w:hAnsi="Times New Roman" w:cs="Times New Roman"/>
                <w:color w:val="000000"/>
                <w:sz w:val="24"/>
                <w:szCs w:val="24"/>
                <w:lang w:eastAsia="en-GB"/>
              </w:rPr>
              <w:lastRenderedPageBreak/>
              <w:t>marks from sandals</w:t>
            </w:r>
          </w:p>
        </w:tc>
        <w:tc>
          <w:tcPr>
            <w:tcW w:w="1760" w:type="dxa"/>
            <w:tcBorders>
              <w:top w:val="nil"/>
              <w:left w:val="nil"/>
              <w:bottom w:val="single" w:sz="4" w:space="0" w:color="auto"/>
              <w:right w:val="single" w:sz="4" w:space="0" w:color="auto"/>
            </w:tcBorders>
            <w:shd w:val="clear" w:color="auto" w:fill="auto"/>
            <w:vAlign w:val="bottom"/>
            <w:hideMark/>
          </w:tcPr>
          <w:p w:rsidR="00172EDD" w:rsidRPr="009E282D" w:rsidRDefault="00172EDD" w:rsidP="009E282D">
            <w:pPr>
              <w:spacing w:after="0" w:line="480" w:lineRule="auto"/>
              <w:rPr>
                <w:rFonts w:ascii="Times New Roman" w:eastAsia="Times New Roman" w:hAnsi="Times New Roman" w:cs="Times New Roman"/>
                <w:color w:val="000000"/>
                <w:sz w:val="24"/>
                <w:szCs w:val="24"/>
                <w:lang w:eastAsia="en-GB"/>
              </w:rPr>
            </w:pPr>
            <w:r w:rsidRPr="009E282D">
              <w:rPr>
                <w:rFonts w:ascii="Times New Roman" w:eastAsia="Times New Roman" w:hAnsi="Times New Roman" w:cs="Times New Roman"/>
                <w:color w:val="000000"/>
                <w:sz w:val="24"/>
                <w:szCs w:val="24"/>
                <w:lang w:eastAsia="en-GB"/>
              </w:rPr>
              <w:lastRenderedPageBreak/>
              <w:t>Contact photo aggravation: Reaction to allergen exposed to light greater to unexposed site</w:t>
            </w:r>
          </w:p>
        </w:tc>
      </w:tr>
      <w:tr w:rsidR="00172EDD" w:rsidRPr="009E282D" w:rsidTr="00172EDD">
        <w:trPr>
          <w:trHeight w:val="24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172EDD" w:rsidRPr="009E282D" w:rsidRDefault="00172EDD" w:rsidP="009E282D">
            <w:pPr>
              <w:spacing w:after="0" w:line="480" w:lineRule="auto"/>
              <w:rPr>
                <w:rFonts w:ascii="Times New Roman" w:eastAsia="Times New Roman" w:hAnsi="Times New Roman" w:cs="Times New Roman"/>
                <w:color w:val="000000"/>
                <w:sz w:val="24"/>
                <w:szCs w:val="24"/>
                <w:lang w:eastAsia="en-GB"/>
              </w:rPr>
            </w:pPr>
            <w:r w:rsidRPr="009E282D">
              <w:rPr>
                <w:rFonts w:ascii="Times New Roman" w:eastAsia="Times New Roman" w:hAnsi="Times New Roman" w:cs="Times New Roman"/>
                <w:color w:val="000000"/>
                <w:sz w:val="24"/>
                <w:szCs w:val="24"/>
                <w:lang w:eastAsia="en-GB"/>
              </w:rPr>
              <w:lastRenderedPageBreak/>
              <w:t>Atomic dermatitis</w:t>
            </w:r>
          </w:p>
        </w:tc>
        <w:tc>
          <w:tcPr>
            <w:tcW w:w="2040" w:type="dxa"/>
            <w:tcBorders>
              <w:top w:val="nil"/>
              <w:left w:val="nil"/>
              <w:bottom w:val="single" w:sz="4" w:space="0" w:color="auto"/>
              <w:right w:val="single" w:sz="4" w:space="0" w:color="auto"/>
            </w:tcBorders>
            <w:shd w:val="clear" w:color="auto" w:fill="auto"/>
            <w:vAlign w:val="bottom"/>
            <w:hideMark/>
          </w:tcPr>
          <w:p w:rsidR="00172EDD" w:rsidRPr="009E282D" w:rsidRDefault="00172EDD" w:rsidP="009E282D">
            <w:pPr>
              <w:spacing w:after="0" w:line="480" w:lineRule="auto"/>
              <w:rPr>
                <w:rFonts w:ascii="Times New Roman" w:eastAsia="Times New Roman" w:hAnsi="Times New Roman" w:cs="Times New Roman"/>
                <w:color w:val="000000"/>
                <w:sz w:val="24"/>
                <w:szCs w:val="24"/>
                <w:lang w:eastAsia="en-GB"/>
              </w:rPr>
            </w:pPr>
            <w:r w:rsidRPr="009E282D">
              <w:rPr>
                <w:rFonts w:ascii="Times New Roman" w:eastAsia="Times New Roman" w:hAnsi="Times New Roman" w:cs="Times New Roman"/>
                <w:color w:val="000000"/>
                <w:sz w:val="24"/>
                <w:szCs w:val="24"/>
                <w:lang w:eastAsia="en-GB"/>
              </w:rPr>
              <w:t>Relieve itching. Clear the rashes</w:t>
            </w:r>
          </w:p>
        </w:tc>
        <w:tc>
          <w:tcPr>
            <w:tcW w:w="1423" w:type="dxa"/>
            <w:tcBorders>
              <w:top w:val="nil"/>
              <w:left w:val="nil"/>
              <w:bottom w:val="single" w:sz="4" w:space="0" w:color="auto"/>
              <w:right w:val="single" w:sz="4" w:space="0" w:color="auto"/>
            </w:tcBorders>
            <w:shd w:val="clear" w:color="auto" w:fill="auto"/>
            <w:noWrap/>
            <w:vAlign w:val="bottom"/>
            <w:hideMark/>
          </w:tcPr>
          <w:p w:rsidR="00172EDD" w:rsidRPr="009E282D" w:rsidRDefault="00172EDD" w:rsidP="009E282D">
            <w:pPr>
              <w:spacing w:after="0" w:line="480" w:lineRule="auto"/>
              <w:rPr>
                <w:rFonts w:ascii="Times New Roman" w:eastAsia="Times New Roman" w:hAnsi="Times New Roman" w:cs="Times New Roman"/>
                <w:color w:val="000000"/>
                <w:sz w:val="24"/>
                <w:szCs w:val="24"/>
                <w:lang w:eastAsia="en-GB"/>
              </w:rPr>
            </w:pPr>
            <w:r w:rsidRPr="009E282D">
              <w:rPr>
                <w:rFonts w:ascii="Times New Roman" w:eastAsia="Times New Roman" w:hAnsi="Times New Roman" w:cs="Times New Roman"/>
                <w:color w:val="000000"/>
                <w:sz w:val="24"/>
                <w:szCs w:val="24"/>
                <w:lang w:eastAsia="en-GB"/>
              </w:rPr>
              <w:t> </w:t>
            </w:r>
          </w:p>
        </w:tc>
        <w:tc>
          <w:tcPr>
            <w:tcW w:w="1817" w:type="dxa"/>
            <w:tcBorders>
              <w:top w:val="nil"/>
              <w:left w:val="nil"/>
              <w:bottom w:val="single" w:sz="4" w:space="0" w:color="auto"/>
              <w:right w:val="single" w:sz="4" w:space="0" w:color="auto"/>
            </w:tcBorders>
            <w:shd w:val="clear" w:color="auto" w:fill="auto"/>
            <w:vAlign w:val="bottom"/>
            <w:hideMark/>
          </w:tcPr>
          <w:p w:rsidR="00172EDD" w:rsidRPr="009E282D" w:rsidRDefault="00172EDD" w:rsidP="009E282D">
            <w:pPr>
              <w:spacing w:after="0" w:line="480" w:lineRule="auto"/>
              <w:rPr>
                <w:rFonts w:ascii="Times New Roman" w:eastAsia="Times New Roman" w:hAnsi="Times New Roman" w:cs="Times New Roman"/>
                <w:color w:val="000000"/>
                <w:sz w:val="24"/>
                <w:szCs w:val="24"/>
                <w:lang w:eastAsia="en-GB"/>
              </w:rPr>
            </w:pPr>
            <w:r w:rsidRPr="009E282D">
              <w:rPr>
                <w:rFonts w:ascii="Times New Roman" w:eastAsia="Times New Roman" w:hAnsi="Times New Roman" w:cs="Times New Roman"/>
                <w:color w:val="000000"/>
                <w:sz w:val="24"/>
                <w:szCs w:val="24"/>
                <w:lang w:eastAsia="en-GB"/>
              </w:rPr>
              <w:t>Dorsum of hands: sparing finger webs.     Forearms: sharp cut-off at cuff level</w:t>
            </w:r>
          </w:p>
        </w:tc>
        <w:tc>
          <w:tcPr>
            <w:tcW w:w="1760" w:type="dxa"/>
            <w:tcBorders>
              <w:top w:val="nil"/>
              <w:left w:val="nil"/>
              <w:bottom w:val="single" w:sz="4" w:space="0" w:color="auto"/>
              <w:right w:val="single" w:sz="4" w:space="0" w:color="auto"/>
            </w:tcBorders>
            <w:shd w:val="clear" w:color="auto" w:fill="auto"/>
            <w:vAlign w:val="bottom"/>
            <w:hideMark/>
          </w:tcPr>
          <w:p w:rsidR="00172EDD" w:rsidRPr="009E282D" w:rsidRDefault="00172EDD" w:rsidP="009E282D">
            <w:pPr>
              <w:spacing w:after="0" w:line="480" w:lineRule="auto"/>
              <w:rPr>
                <w:rFonts w:ascii="Times New Roman" w:eastAsia="Times New Roman" w:hAnsi="Times New Roman" w:cs="Times New Roman"/>
                <w:color w:val="000000"/>
                <w:sz w:val="24"/>
                <w:szCs w:val="24"/>
                <w:lang w:eastAsia="en-GB"/>
              </w:rPr>
            </w:pPr>
            <w:r w:rsidRPr="009E282D">
              <w:rPr>
                <w:rFonts w:ascii="Times New Roman" w:eastAsia="Times New Roman" w:hAnsi="Times New Roman" w:cs="Times New Roman"/>
                <w:color w:val="000000"/>
                <w:sz w:val="24"/>
                <w:szCs w:val="24"/>
                <w:lang w:eastAsia="en-GB"/>
              </w:rPr>
              <w:t xml:space="preserve">Contact </w:t>
            </w:r>
            <w:proofErr w:type="spellStart"/>
            <w:r w:rsidRPr="009E282D">
              <w:rPr>
                <w:rFonts w:ascii="Times New Roman" w:eastAsia="Times New Roman" w:hAnsi="Times New Roman" w:cs="Times New Roman"/>
                <w:color w:val="000000"/>
                <w:sz w:val="24"/>
                <w:szCs w:val="24"/>
                <w:lang w:eastAsia="en-GB"/>
              </w:rPr>
              <w:t>photoallergy</w:t>
            </w:r>
            <w:proofErr w:type="spellEnd"/>
            <w:r w:rsidRPr="009E282D">
              <w:rPr>
                <w:rFonts w:ascii="Times New Roman" w:eastAsia="Times New Roman" w:hAnsi="Times New Roman" w:cs="Times New Roman"/>
                <w:color w:val="000000"/>
                <w:sz w:val="24"/>
                <w:szCs w:val="24"/>
                <w:lang w:eastAsia="en-GB"/>
              </w:rPr>
              <w:t>: Reaction to allergen exposed to light but no reaction to unexposed allergen</w:t>
            </w:r>
          </w:p>
        </w:tc>
      </w:tr>
      <w:tr w:rsidR="00172EDD" w:rsidRPr="009E282D" w:rsidTr="00172EDD">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172EDD" w:rsidRPr="009E282D" w:rsidRDefault="00172EDD" w:rsidP="009E282D">
            <w:pPr>
              <w:spacing w:after="0" w:line="480" w:lineRule="auto"/>
              <w:rPr>
                <w:rFonts w:ascii="Times New Roman" w:eastAsia="Times New Roman" w:hAnsi="Times New Roman" w:cs="Times New Roman"/>
                <w:color w:val="000000"/>
                <w:sz w:val="24"/>
                <w:szCs w:val="24"/>
                <w:lang w:eastAsia="en-GB"/>
              </w:rPr>
            </w:pPr>
            <w:r w:rsidRPr="009E282D">
              <w:rPr>
                <w:rFonts w:ascii="Times New Roman" w:eastAsia="Times New Roman" w:hAnsi="Times New Roman" w:cs="Times New Roman"/>
                <w:color w:val="000000"/>
                <w:sz w:val="24"/>
                <w:szCs w:val="24"/>
                <w:lang w:eastAsia="en-GB"/>
              </w:rPr>
              <w:t> </w:t>
            </w:r>
          </w:p>
        </w:tc>
        <w:tc>
          <w:tcPr>
            <w:tcW w:w="2040" w:type="dxa"/>
            <w:tcBorders>
              <w:top w:val="nil"/>
              <w:left w:val="nil"/>
              <w:bottom w:val="single" w:sz="4" w:space="0" w:color="auto"/>
              <w:right w:val="single" w:sz="4" w:space="0" w:color="auto"/>
            </w:tcBorders>
            <w:shd w:val="clear" w:color="auto" w:fill="auto"/>
            <w:noWrap/>
            <w:vAlign w:val="bottom"/>
            <w:hideMark/>
          </w:tcPr>
          <w:p w:rsidR="00172EDD" w:rsidRPr="009E282D" w:rsidRDefault="00172EDD" w:rsidP="009E282D">
            <w:pPr>
              <w:spacing w:after="0" w:line="480" w:lineRule="auto"/>
              <w:rPr>
                <w:rFonts w:ascii="Times New Roman" w:eastAsia="Times New Roman" w:hAnsi="Times New Roman" w:cs="Times New Roman"/>
                <w:color w:val="000000"/>
                <w:sz w:val="24"/>
                <w:szCs w:val="24"/>
                <w:lang w:eastAsia="en-GB"/>
              </w:rPr>
            </w:pPr>
            <w:r w:rsidRPr="009E282D">
              <w:rPr>
                <w:rFonts w:ascii="Times New Roman" w:eastAsia="Times New Roman" w:hAnsi="Times New Roman" w:cs="Times New Roman"/>
                <w:color w:val="000000"/>
                <w:sz w:val="24"/>
                <w:szCs w:val="24"/>
                <w:lang w:eastAsia="en-GB"/>
              </w:rPr>
              <w:t> </w:t>
            </w:r>
          </w:p>
        </w:tc>
        <w:tc>
          <w:tcPr>
            <w:tcW w:w="1423" w:type="dxa"/>
            <w:tcBorders>
              <w:top w:val="nil"/>
              <w:left w:val="nil"/>
              <w:bottom w:val="single" w:sz="4" w:space="0" w:color="auto"/>
              <w:right w:val="single" w:sz="4" w:space="0" w:color="auto"/>
            </w:tcBorders>
            <w:shd w:val="clear" w:color="auto" w:fill="auto"/>
            <w:noWrap/>
            <w:vAlign w:val="bottom"/>
            <w:hideMark/>
          </w:tcPr>
          <w:p w:rsidR="00172EDD" w:rsidRPr="009E282D" w:rsidRDefault="00172EDD" w:rsidP="009E282D">
            <w:pPr>
              <w:spacing w:after="0" w:line="480" w:lineRule="auto"/>
              <w:rPr>
                <w:rFonts w:ascii="Times New Roman" w:eastAsia="Times New Roman" w:hAnsi="Times New Roman" w:cs="Times New Roman"/>
                <w:color w:val="000000"/>
                <w:sz w:val="24"/>
                <w:szCs w:val="24"/>
                <w:lang w:eastAsia="en-GB"/>
              </w:rPr>
            </w:pPr>
            <w:r w:rsidRPr="009E282D">
              <w:rPr>
                <w:rFonts w:ascii="Times New Roman" w:eastAsia="Times New Roman" w:hAnsi="Times New Roman" w:cs="Times New Roman"/>
                <w:color w:val="000000"/>
                <w:sz w:val="24"/>
                <w:szCs w:val="24"/>
                <w:lang w:eastAsia="en-GB"/>
              </w:rPr>
              <w:t> </w:t>
            </w:r>
          </w:p>
        </w:tc>
        <w:tc>
          <w:tcPr>
            <w:tcW w:w="1817" w:type="dxa"/>
            <w:tcBorders>
              <w:top w:val="nil"/>
              <w:left w:val="nil"/>
              <w:bottom w:val="single" w:sz="4" w:space="0" w:color="auto"/>
              <w:right w:val="single" w:sz="4" w:space="0" w:color="auto"/>
            </w:tcBorders>
            <w:shd w:val="clear" w:color="auto" w:fill="auto"/>
            <w:vAlign w:val="bottom"/>
            <w:hideMark/>
          </w:tcPr>
          <w:p w:rsidR="00172EDD" w:rsidRPr="009E282D" w:rsidRDefault="00172EDD" w:rsidP="009E282D">
            <w:pPr>
              <w:spacing w:after="0" w:line="480" w:lineRule="auto"/>
              <w:rPr>
                <w:rFonts w:ascii="Times New Roman" w:eastAsia="Times New Roman" w:hAnsi="Times New Roman" w:cs="Times New Roman"/>
                <w:color w:val="000000"/>
                <w:sz w:val="24"/>
                <w:szCs w:val="24"/>
                <w:lang w:eastAsia="en-GB"/>
              </w:rPr>
            </w:pPr>
            <w:r w:rsidRPr="009E282D">
              <w:rPr>
                <w:rFonts w:ascii="Times New Roman" w:eastAsia="Times New Roman" w:hAnsi="Times New Roman" w:cs="Times New Roman"/>
                <w:color w:val="000000"/>
                <w:sz w:val="24"/>
                <w:szCs w:val="24"/>
                <w:lang w:eastAsia="en-GB"/>
              </w:rPr>
              <w:t> </w:t>
            </w:r>
          </w:p>
        </w:tc>
        <w:tc>
          <w:tcPr>
            <w:tcW w:w="1760" w:type="dxa"/>
            <w:tcBorders>
              <w:top w:val="nil"/>
              <w:left w:val="nil"/>
              <w:bottom w:val="single" w:sz="4" w:space="0" w:color="auto"/>
              <w:right w:val="single" w:sz="4" w:space="0" w:color="auto"/>
            </w:tcBorders>
            <w:shd w:val="clear" w:color="auto" w:fill="auto"/>
            <w:vAlign w:val="bottom"/>
            <w:hideMark/>
          </w:tcPr>
          <w:p w:rsidR="00172EDD" w:rsidRPr="009E282D" w:rsidRDefault="00172EDD" w:rsidP="009E282D">
            <w:pPr>
              <w:spacing w:after="0" w:line="480" w:lineRule="auto"/>
              <w:rPr>
                <w:rFonts w:ascii="Times New Roman" w:eastAsia="Times New Roman" w:hAnsi="Times New Roman" w:cs="Times New Roman"/>
                <w:color w:val="000000"/>
                <w:sz w:val="24"/>
                <w:szCs w:val="24"/>
                <w:lang w:eastAsia="en-GB"/>
              </w:rPr>
            </w:pPr>
            <w:r w:rsidRPr="009E282D">
              <w:rPr>
                <w:rFonts w:ascii="Times New Roman" w:eastAsia="Times New Roman" w:hAnsi="Times New Roman" w:cs="Times New Roman"/>
                <w:color w:val="000000"/>
                <w:sz w:val="24"/>
                <w:szCs w:val="24"/>
                <w:lang w:eastAsia="en-GB"/>
              </w:rPr>
              <w:t> </w:t>
            </w:r>
          </w:p>
        </w:tc>
      </w:tr>
    </w:tbl>
    <w:p w:rsidR="008D68E0" w:rsidRPr="009E282D" w:rsidRDefault="008D68E0" w:rsidP="009E282D">
      <w:pPr>
        <w:spacing w:line="48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920"/>
        <w:gridCol w:w="3280"/>
      </w:tblGrid>
      <w:tr w:rsidR="009E282D" w:rsidRPr="009E282D" w:rsidTr="009E282D">
        <w:trPr>
          <w:trHeight w:val="300"/>
        </w:trPr>
        <w:tc>
          <w:tcPr>
            <w:tcW w:w="3920" w:type="dxa"/>
            <w:noWrap/>
            <w:hideMark/>
          </w:tcPr>
          <w:p w:rsidR="009E282D" w:rsidRPr="009E282D" w:rsidRDefault="009E282D" w:rsidP="009E282D">
            <w:pPr>
              <w:spacing w:line="480" w:lineRule="auto"/>
              <w:rPr>
                <w:rFonts w:ascii="Times New Roman" w:hAnsi="Times New Roman" w:cs="Times New Roman"/>
                <w:b/>
                <w:bCs/>
                <w:sz w:val="24"/>
                <w:szCs w:val="24"/>
              </w:rPr>
            </w:pPr>
            <w:proofErr w:type="spellStart"/>
            <w:r w:rsidRPr="009E282D">
              <w:rPr>
                <w:rFonts w:ascii="Times New Roman" w:hAnsi="Times New Roman" w:cs="Times New Roman"/>
                <w:b/>
                <w:bCs/>
                <w:sz w:val="24"/>
                <w:szCs w:val="24"/>
              </w:rPr>
              <w:t>doagnosis</w:t>
            </w:r>
            <w:proofErr w:type="spellEnd"/>
          </w:p>
        </w:tc>
        <w:tc>
          <w:tcPr>
            <w:tcW w:w="3280" w:type="dxa"/>
            <w:noWrap/>
            <w:hideMark/>
          </w:tcPr>
          <w:p w:rsidR="009E282D" w:rsidRPr="009E282D" w:rsidRDefault="009E282D" w:rsidP="009E282D">
            <w:pPr>
              <w:spacing w:line="480" w:lineRule="auto"/>
              <w:rPr>
                <w:rFonts w:ascii="Times New Roman" w:hAnsi="Times New Roman" w:cs="Times New Roman"/>
                <w:sz w:val="24"/>
                <w:szCs w:val="24"/>
              </w:rPr>
            </w:pPr>
            <w:r w:rsidRPr="009E282D">
              <w:rPr>
                <w:rFonts w:ascii="Times New Roman" w:hAnsi="Times New Roman" w:cs="Times New Roman"/>
                <w:sz w:val="24"/>
                <w:szCs w:val="24"/>
              </w:rPr>
              <w:t>care plan</w:t>
            </w:r>
          </w:p>
        </w:tc>
      </w:tr>
      <w:tr w:rsidR="009E282D" w:rsidRPr="009E282D" w:rsidTr="009E282D">
        <w:trPr>
          <w:trHeight w:val="3900"/>
        </w:trPr>
        <w:tc>
          <w:tcPr>
            <w:tcW w:w="3920" w:type="dxa"/>
            <w:hideMark/>
          </w:tcPr>
          <w:p w:rsidR="009E282D" w:rsidRPr="009E282D" w:rsidRDefault="009E282D" w:rsidP="009E282D">
            <w:pPr>
              <w:spacing w:line="480" w:lineRule="auto"/>
              <w:rPr>
                <w:rFonts w:ascii="Times New Roman" w:hAnsi="Times New Roman" w:cs="Times New Roman"/>
                <w:sz w:val="24"/>
                <w:szCs w:val="24"/>
              </w:rPr>
            </w:pPr>
            <w:r w:rsidRPr="009E282D">
              <w:rPr>
                <w:rFonts w:ascii="Times New Roman" w:hAnsi="Times New Roman" w:cs="Times New Roman"/>
                <w:sz w:val="24"/>
                <w:szCs w:val="24"/>
              </w:rPr>
              <w:t>Skin Lupus Erythematosus</w:t>
            </w:r>
          </w:p>
        </w:tc>
        <w:tc>
          <w:tcPr>
            <w:tcW w:w="3280" w:type="dxa"/>
            <w:hideMark/>
          </w:tcPr>
          <w:p w:rsidR="009E282D" w:rsidRPr="009E282D" w:rsidRDefault="009E282D" w:rsidP="009E282D">
            <w:pPr>
              <w:spacing w:line="480" w:lineRule="auto"/>
              <w:rPr>
                <w:rFonts w:ascii="Times New Roman" w:hAnsi="Times New Roman" w:cs="Times New Roman"/>
                <w:sz w:val="24"/>
                <w:szCs w:val="24"/>
              </w:rPr>
            </w:pPr>
            <w:r w:rsidRPr="009E282D">
              <w:rPr>
                <w:rFonts w:ascii="Times New Roman" w:hAnsi="Times New Roman" w:cs="Times New Roman"/>
                <w:sz w:val="24"/>
                <w:szCs w:val="24"/>
              </w:rPr>
              <w:t xml:space="preserve">Assess the skin for integrity. Assess the client’s description of pain.                                                  Assess the degree to which symptoms interfere with the client’s lifestyle and body </w:t>
            </w:r>
            <w:r w:rsidRPr="009E282D">
              <w:rPr>
                <w:rFonts w:ascii="Times New Roman" w:hAnsi="Times New Roman" w:cs="Times New Roman"/>
                <w:sz w:val="24"/>
                <w:szCs w:val="24"/>
              </w:rPr>
              <w:lastRenderedPageBreak/>
              <w:t>image. Encourage adequate nutrition and hydration.</w:t>
            </w:r>
          </w:p>
          <w:p w:rsidR="009E282D" w:rsidRPr="009E282D" w:rsidRDefault="009E282D" w:rsidP="009E282D">
            <w:pPr>
              <w:spacing w:line="480" w:lineRule="auto"/>
              <w:rPr>
                <w:rFonts w:ascii="Times New Roman" w:hAnsi="Times New Roman" w:cs="Times New Roman"/>
                <w:sz w:val="24"/>
                <w:szCs w:val="24"/>
              </w:rPr>
            </w:pPr>
            <w:r w:rsidRPr="009E282D">
              <w:rPr>
                <w:rFonts w:ascii="Times New Roman" w:hAnsi="Times New Roman" w:cs="Times New Roman"/>
                <w:sz w:val="24"/>
                <w:szCs w:val="24"/>
              </w:rPr>
              <w:t>Instruct the client to clean, dry, and moisturize intact skin; use warm (not hot) water, especially over bony prominences; use unscented lotion. Use a mild shampoo.</w:t>
            </w:r>
          </w:p>
        </w:tc>
      </w:tr>
      <w:tr w:rsidR="009E282D" w:rsidRPr="009E282D" w:rsidTr="009E282D">
        <w:trPr>
          <w:trHeight w:val="5610"/>
        </w:trPr>
        <w:tc>
          <w:tcPr>
            <w:tcW w:w="3920" w:type="dxa"/>
            <w:hideMark/>
          </w:tcPr>
          <w:p w:rsidR="009E282D" w:rsidRPr="009E282D" w:rsidRDefault="009E282D" w:rsidP="009E282D">
            <w:pPr>
              <w:spacing w:line="480" w:lineRule="auto"/>
              <w:rPr>
                <w:rFonts w:ascii="Times New Roman" w:hAnsi="Times New Roman" w:cs="Times New Roman"/>
                <w:sz w:val="24"/>
                <w:szCs w:val="24"/>
              </w:rPr>
            </w:pPr>
            <w:r w:rsidRPr="009E282D">
              <w:rPr>
                <w:rFonts w:ascii="Times New Roman" w:hAnsi="Times New Roman" w:cs="Times New Roman"/>
                <w:sz w:val="24"/>
                <w:szCs w:val="24"/>
              </w:rPr>
              <w:lastRenderedPageBreak/>
              <w:t>Photosensitivity dermatitis</w:t>
            </w:r>
          </w:p>
        </w:tc>
        <w:tc>
          <w:tcPr>
            <w:tcW w:w="3280" w:type="dxa"/>
            <w:hideMark/>
          </w:tcPr>
          <w:p w:rsidR="009E282D" w:rsidRPr="009E282D" w:rsidRDefault="009E282D" w:rsidP="009E282D">
            <w:pPr>
              <w:spacing w:line="480" w:lineRule="auto"/>
              <w:rPr>
                <w:rFonts w:ascii="Times New Roman" w:hAnsi="Times New Roman" w:cs="Times New Roman"/>
                <w:sz w:val="24"/>
                <w:szCs w:val="24"/>
              </w:rPr>
            </w:pPr>
            <w:r w:rsidRPr="009E282D">
              <w:rPr>
                <w:rFonts w:ascii="Times New Roman" w:hAnsi="Times New Roman" w:cs="Times New Roman"/>
                <w:sz w:val="24"/>
                <w:szCs w:val="24"/>
              </w:rPr>
              <w:t>Instruct the client to avoid contact with harsh chemicals and to wear appropriate protective gloves, as needed. Avoid hair dye, permanent solution, and curl relaxers.</w:t>
            </w:r>
          </w:p>
          <w:p w:rsidR="009E282D" w:rsidRPr="009E282D" w:rsidRDefault="009E282D" w:rsidP="009E282D">
            <w:pPr>
              <w:spacing w:line="480" w:lineRule="auto"/>
              <w:rPr>
                <w:rFonts w:ascii="Times New Roman" w:hAnsi="Times New Roman" w:cs="Times New Roman"/>
                <w:sz w:val="24"/>
                <w:szCs w:val="24"/>
              </w:rPr>
            </w:pPr>
            <w:r w:rsidRPr="009E282D">
              <w:rPr>
                <w:rFonts w:ascii="Times New Roman" w:hAnsi="Times New Roman" w:cs="Times New Roman"/>
                <w:sz w:val="24"/>
                <w:szCs w:val="24"/>
              </w:rPr>
              <w:t>Wear protective eyewear.                       Wear maximum protection sunscreen (SPF 15 or above) in the sun. Sunbathing is contraindicated.</w:t>
            </w:r>
          </w:p>
          <w:p w:rsidR="009E282D" w:rsidRPr="009E282D" w:rsidRDefault="009E282D" w:rsidP="009E282D">
            <w:pPr>
              <w:spacing w:line="480" w:lineRule="auto"/>
              <w:rPr>
                <w:rFonts w:ascii="Times New Roman" w:hAnsi="Times New Roman" w:cs="Times New Roman"/>
                <w:sz w:val="24"/>
                <w:szCs w:val="24"/>
              </w:rPr>
            </w:pPr>
            <w:r w:rsidRPr="009E282D">
              <w:rPr>
                <w:rFonts w:ascii="Times New Roman" w:hAnsi="Times New Roman" w:cs="Times New Roman"/>
                <w:sz w:val="24"/>
                <w:szCs w:val="24"/>
              </w:rPr>
              <w:t xml:space="preserve">Introduce or reinforce information about the use of </w:t>
            </w:r>
            <w:proofErr w:type="spellStart"/>
            <w:r w:rsidRPr="009E282D">
              <w:rPr>
                <w:rFonts w:ascii="Times New Roman" w:hAnsi="Times New Roman" w:cs="Times New Roman"/>
                <w:sz w:val="24"/>
                <w:szCs w:val="24"/>
              </w:rPr>
              <w:t>hydroxychloroquine</w:t>
            </w:r>
            <w:proofErr w:type="spellEnd"/>
            <w:r w:rsidRPr="009E282D">
              <w:rPr>
                <w:rFonts w:ascii="Times New Roman" w:hAnsi="Times New Roman" w:cs="Times New Roman"/>
                <w:sz w:val="24"/>
                <w:szCs w:val="24"/>
              </w:rPr>
              <w:t>.</w:t>
            </w:r>
          </w:p>
        </w:tc>
      </w:tr>
      <w:tr w:rsidR="009E282D" w:rsidRPr="009E282D" w:rsidTr="009E282D">
        <w:trPr>
          <w:trHeight w:val="5100"/>
        </w:trPr>
        <w:tc>
          <w:tcPr>
            <w:tcW w:w="3920" w:type="dxa"/>
            <w:noWrap/>
            <w:hideMark/>
          </w:tcPr>
          <w:p w:rsidR="009E282D" w:rsidRPr="009E282D" w:rsidRDefault="009E282D" w:rsidP="009E282D">
            <w:pPr>
              <w:spacing w:line="480" w:lineRule="auto"/>
              <w:rPr>
                <w:rFonts w:ascii="Times New Roman" w:hAnsi="Times New Roman" w:cs="Times New Roman"/>
                <w:sz w:val="24"/>
                <w:szCs w:val="24"/>
              </w:rPr>
            </w:pPr>
            <w:r w:rsidRPr="009E282D">
              <w:rPr>
                <w:rFonts w:ascii="Times New Roman" w:hAnsi="Times New Roman" w:cs="Times New Roman"/>
                <w:sz w:val="24"/>
                <w:szCs w:val="24"/>
              </w:rPr>
              <w:lastRenderedPageBreak/>
              <w:t>Atomic dermatitis</w:t>
            </w:r>
          </w:p>
        </w:tc>
        <w:tc>
          <w:tcPr>
            <w:tcW w:w="3280" w:type="dxa"/>
            <w:hideMark/>
          </w:tcPr>
          <w:p w:rsidR="009E282D" w:rsidRPr="009E282D" w:rsidRDefault="009E282D" w:rsidP="009E282D">
            <w:pPr>
              <w:spacing w:line="480" w:lineRule="auto"/>
              <w:rPr>
                <w:rFonts w:ascii="Times New Roman" w:hAnsi="Times New Roman" w:cs="Times New Roman"/>
                <w:sz w:val="24"/>
                <w:szCs w:val="24"/>
              </w:rPr>
            </w:pPr>
            <w:r w:rsidRPr="009E282D">
              <w:rPr>
                <w:rFonts w:ascii="Times New Roman" w:hAnsi="Times New Roman" w:cs="Times New Roman"/>
                <w:sz w:val="24"/>
                <w:szCs w:val="24"/>
              </w:rPr>
              <w:t xml:space="preserve">Introduce or reinforce information on drug therapy. Instruct the client in the potential side effects of steroids, immunosuppressant medication, and other drugs used to treat SLE.                                    Stress to the client the importance of not altering the steroid dose or suddenly stopping the medication. </w:t>
            </w:r>
          </w:p>
          <w:p w:rsidR="009E282D" w:rsidRPr="009E282D" w:rsidRDefault="009E282D" w:rsidP="009E282D">
            <w:pPr>
              <w:spacing w:line="480" w:lineRule="auto"/>
              <w:rPr>
                <w:rFonts w:ascii="Times New Roman" w:hAnsi="Times New Roman" w:cs="Times New Roman"/>
                <w:sz w:val="24"/>
                <w:szCs w:val="24"/>
              </w:rPr>
            </w:pPr>
            <w:r w:rsidRPr="009E282D">
              <w:rPr>
                <w:rFonts w:ascii="Times New Roman" w:hAnsi="Times New Roman" w:cs="Times New Roman"/>
                <w:sz w:val="24"/>
                <w:szCs w:val="24"/>
              </w:rPr>
              <w:t>Instruct in lifestyle activities that can help reduce flare-ups such as</w:t>
            </w:r>
            <w:proofErr w:type="gramStart"/>
            <w:r w:rsidRPr="009E282D">
              <w:rPr>
                <w:rFonts w:ascii="Times New Roman" w:hAnsi="Times New Roman" w:cs="Times New Roman"/>
                <w:sz w:val="24"/>
                <w:szCs w:val="24"/>
              </w:rPr>
              <w:t>:</w:t>
            </w:r>
            <w:proofErr w:type="gramEnd"/>
            <w:r w:rsidRPr="009E282D">
              <w:rPr>
                <w:rFonts w:ascii="Times New Roman" w:hAnsi="Times New Roman" w:cs="Times New Roman"/>
                <w:sz w:val="24"/>
                <w:szCs w:val="24"/>
              </w:rPr>
              <w:br/>
              <w:t>Eating a balanced diet of fruits, grains, and vegetables.</w:t>
            </w:r>
            <w:r w:rsidRPr="009E282D">
              <w:rPr>
                <w:rFonts w:ascii="Times New Roman" w:hAnsi="Times New Roman" w:cs="Times New Roman"/>
                <w:sz w:val="24"/>
                <w:szCs w:val="24"/>
              </w:rPr>
              <w:br/>
              <w:t>Regular exercise</w:t>
            </w:r>
            <w:r w:rsidRPr="009E282D">
              <w:rPr>
                <w:rFonts w:ascii="Times New Roman" w:hAnsi="Times New Roman" w:cs="Times New Roman"/>
                <w:sz w:val="24"/>
                <w:szCs w:val="24"/>
              </w:rPr>
              <w:br/>
              <w:t>Avoiding sun exposure</w:t>
            </w:r>
            <w:r w:rsidRPr="009E282D">
              <w:rPr>
                <w:rFonts w:ascii="Times New Roman" w:hAnsi="Times New Roman" w:cs="Times New Roman"/>
                <w:sz w:val="24"/>
                <w:szCs w:val="24"/>
              </w:rPr>
              <w:br/>
              <w:t xml:space="preserve">Adequate rest </w:t>
            </w:r>
          </w:p>
        </w:tc>
      </w:tr>
    </w:tbl>
    <w:p w:rsidR="009E282D" w:rsidRDefault="009E282D" w:rsidP="009E282D">
      <w:pPr>
        <w:spacing w:line="480" w:lineRule="auto"/>
        <w:rPr>
          <w:rFonts w:ascii="Times New Roman" w:hAnsi="Times New Roman" w:cs="Times New Roman"/>
          <w:sz w:val="24"/>
          <w:szCs w:val="24"/>
        </w:rPr>
      </w:pPr>
    </w:p>
    <w:tbl>
      <w:tblPr>
        <w:tblW w:w="6564" w:type="dxa"/>
        <w:shd w:val="clear" w:color="auto" w:fill="FFFFFF"/>
        <w:tblCellMar>
          <w:left w:w="0" w:type="dxa"/>
          <w:right w:w="0" w:type="dxa"/>
        </w:tblCellMar>
        <w:tblLook w:val="04A0" w:firstRow="1" w:lastRow="0" w:firstColumn="1" w:lastColumn="0" w:noHBand="0" w:noVBand="1"/>
      </w:tblPr>
      <w:tblGrid>
        <w:gridCol w:w="6564"/>
      </w:tblGrid>
      <w:tr w:rsidR="0054406D" w:rsidRPr="0054406D" w:rsidTr="0054406D">
        <w:tc>
          <w:tcPr>
            <w:tcW w:w="0" w:type="auto"/>
            <w:shd w:val="clear" w:color="auto" w:fill="FFFFFF"/>
            <w:vAlign w:val="center"/>
            <w:hideMark/>
          </w:tcPr>
          <w:p w:rsidR="0054406D" w:rsidRPr="0054406D" w:rsidRDefault="0054406D" w:rsidP="0054406D">
            <w:pPr>
              <w:spacing w:line="480" w:lineRule="auto"/>
              <w:rPr>
                <w:rFonts w:ascii="Times New Roman" w:hAnsi="Times New Roman" w:cs="Times New Roman"/>
                <w:sz w:val="24"/>
                <w:szCs w:val="24"/>
              </w:rPr>
            </w:pPr>
          </w:p>
        </w:tc>
      </w:tr>
      <w:tr w:rsidR="0054406D" w:rsidRPr="0054406D" w:rsidTr="0054406D">
        <w:tc>
          <w:tcPr>
            <w:tcW w:w="0" w:type="auto"/>
            <w:shd w:val="clear" w:color="auto" w:fill="FFFFFF"/>
            <w:tcMar>
              <w:top w:w="120" w:type="dxa"/>
              <w:left w:w="0" w:type="dxa"/>
              <w:bottom w:w="120" w:type="dxa"/>
              <w:right w:w="0" w:type="dxa"/>
            </w:tcMar>
            <w:hideMark/>
          </w:tcPr>
          <w:p w:rsidR="0054406D" w:rsidRDefault="0054406D" w:rsidP="0054406D">
            <w:pPr>
              <w:spacing w:line="480" w:lineRule="auto"/>
              <w:ind w:left="720" w:hanging="720"/>
              <w:rPr>
                <w:rFonts w:ascii="Times New Roman" w:hAnsi="Times New Roman" w:cs="Times New Roman"/>
                <w:sz w:val="24"/>
                <w:szCs w:val="24"/>
              </w:rPr>
            </w:pPr>
            <w:r w:rsidRPr="0054406D">
              <w:rPr>
                <w:rFonts w:ascii="Times New Roman" w:hAnsi="Times New Roman" w:cs="Times New Roman"/>
                <w:sz w:val="24"/>
                <w:szCs w:val="24"/>
              </w:rPr>
              <w:lastRenderedPageBreak/>
              <w:t xml:space="preserve">Mohan, C., &amp; </w:t>
            </w:r>
            <w:proofErr w:type="spellStart"/>
            <w:r w:rsidRPr="0054406D">
              <w:rPr>
                <w:rFonts w:ascii="Times New Roman" w:hAnsi="Times New Roman" w:cs="Times New Roman"/>
                <w:sz w:val="24"/>
                <w:szCs w:val="24"/>
              </w:rPr>
              <w:t>Putterman</w:t>
            </w:r>
            <w:proofErr w:type="spellEnd"/>
            <w:r w:rsidRPr="0054406D">
              <w:rPr>
                <w:rFonts w:ascii="Times New Roman" w:hAnsi="Times New Roman" w:cs="Times New Roman"/>
                <w:sz w:val="24"/>
                <w:szCs w:val="24"/>
              </w:rPr>
              <w:t>, C. (2015). Genetics and pathogenesis of systemic lupus erythematosus and lupus nephritis. </w:t>
            </w:r>
            <w:r w:rsidRPr="0054406D">
              <w:rPr>
                <w:rFonts w:ascii="Times New Roman" w:hAnsi="Times New Roman" w:cs="Times New Roman"/>
                <w:i/>
                <w:iCs/>
                <w:sz w:val="24"/>
                <w:szCs w:val="24"/>
              </w:rPr>
              <w:t>Nature Reviews Nephrology</w:t>
            </w:r>
            <w:r w:rsidRPr="0054406D">
              <w:rPr>
                <w:rFonts w:ascii="Times New Roman" w:hAnsi="Times New Roman" w:cs="Times New Roman"/>
                <w:sz w:val="24"/>
                <w:szCs w:val="24"/>
              </w:rPr>
              <w:t>, </w:t>
            </w:r>
            <w:r w:rsidRPr="0054406D">
              <w:rPr>
                <w:rFonts w:ascii="Times New Roman" w:hAnsi="Times New Roman" w:cs="Times New Roman"/>
                <w:i/>
                <w:iCs/>
                <w:sz w:val="24"/>
                <w:szCs w:val="24"/>
              </w:rPr>
              <w:t>11</w:t>
            </w:r>
            <w:r w:rsidRPr="0054406D">
              <w:rPr>
                <w:rFonts w:ascii="Times New Roman" w:hAnsi="Times New Roman" w:cs="Times New Roman"/>
                <w:sz w:val="24"/>
                <w:szCs w:val="24"/>
              </w:rPr>
              <w:t>(6), 329.</w:t>
            </w:r>
          </w:p>
          <w:p w:rsidR="0054406D" w:rsidRPr="0054406D" w:rsidRDefault="0054406D" w:rsidP="0054406D">
            <w:pPr>
              <w:spacing w:line="480" w:lineRule="auto"/>
              <w:ind w:left="720" w:hanging="720"/>
              <w:rPr>
                <w:rFonts w:ascii="Times New Roman" w:hAnsi="Times New Roman" w:cs="Times New Roman"/>
                <w:sz w:val="24"/>
                <w:szCs w:val="24"/>
              </w:rPr>
            </w:pPr>
            <w:r w:rsidRPr="0054406D">
              <w:rPr>
                <w:rFonts w:ascii="Times New Roman" w:hAnsi="Times New Roman" w:cs="Times New Roman"/>
                <w:sz w:val="24"/>
                <w:szCs w:val="24"/>
              </w:rPr>
              <w:t xml:space="preserve">Morel, L. (2017). </w:t>
            </w:r>
            <w:proofErr w:type="spellStart"/>
            <w:r w:rsidRPr="0054406D">
              <w:rPr>
                <w:rFonts w:ascii="Times New Roman" w:hAnsi="Times New Roman" w:cs="Times New Roman"/>
                <w:sz w:val="24"/>
                <w:szCs w:val="24"/>
              </w:rPr>
              <w:t>Immunometabolism</w:t>
            </w:r>
            <w:proofErr w:type="spellEnd"/>
            <w:r w:rsidRPr="0054406D">
              <w:rPr>
                <w:rFonts w:ascii="Times New Roman" w:hAnsi="Times New Roman" w:cs="Times New Roman"/>
                <w:sz w:val="24"/>
                <w:szCs w:val="24"/>
              </w:rPr>
              <w:t xml:space="preserve"> in systemic lupus erythematosus. </w:t>
            </w:r>
            <w:r w:rsidRPr="0054406D">
              <w:rPr>
                <w:rFonts w:ascii="Times New Roman" w:hAnsi="Times New Roman" w:cs="Times New Roman"/>
                <w:i/>
                <w:iCs/>
                <w:sz w:val="24"/>
                <w:szCs w:val="24"/>
              </w:rPr>
              <w:t>Nature reviews Rheumatology</w:t>
            </w:r>
            <w:r w:rsidRPr="0054406D">
              <w:rPr>
                <w:rFonts w:ascii="Times New Roman" w:hAnsi="Times New Roman" w:cs="Times New Roman"/>
                <w:sz w:val="24"/>
                <w:szCs w:val="24"/>
              </w:rPr>
              <w:t>, </w:t>
            </w:r>
            <w:r w:rsidRPr="0054406D">
              <w:rPr>
                <w:rFonts w:ascii="Times New Roman" w:hAnsi="Times New Roman" w:cs="Times New Roman"/>
                <w:i/>
                <w:iCs/>
                <w:sz w:val="24"/>
                <w:szCs w:val="24"/>
              </w:rPr>
              <w:t>13</w:t>
            </w:r>
            <w:r w:rsidRPr="0054406D">
              <w:rPr>
                <w:rFonts w:ascii="Times New Roman" w:hAnsi="Times New Roman" w:cs="Times New Roman"/>
                <w:sz w:val="24"/>
                <w:szCs w:val="24"/>
              </w:rPr>
              <w:t>(5), 280.</w:t>
            </w:r>
          </w:p>
          <w:p w:rsidR="0054406D" w:rsidRPr="0054406D" w:rsidRDefault="0054406D" w:rsidP="0054406D">
            <w:pPr>
              <w:spacing w:line="480" w:lineRule="auto"/>
              <w:ind w:left="720" w:hanging="720"/>
              <w:rPr>
                <w:rFonts w:ascii="Times New Roman" w:hAnsi="Times New Roman" w:cs="Times New Roman"/>
                <w:sz w:val="24"/>
                <w:szCs w:val="24"/>
              </w:rPr>
            </w:pPr>
            <w:proofErr w:type="spellStart"/>
            <w:r w:rsidRPr="0054406D">
              <w:rPr>
                <w:rFonts w:ascii="Times New Roman" w:hAnsi="Times New Roman" w:cs="Times New Roman"/>
                <w:sz w:val="24"/>
                <w:szCs w:val="24"/>
              </w:rPr>
              <w:t>Tsokos</w:t>
            </w:r>
            <w:proofErr w:type="spellEnd"/>
            <w:r w:rsidRPr="0054406D">
              <w:rPr>
                <w:rFonts w:ascii="Times New Roman" w:hAnsi="Times New Roman" w:cs="Times New Roman"/>
                <w:sz w:val="24"/>
                <w:szCs w:val="24"/>
              </w:rPr>
              <w:t xml:space="preserve">, G. C., Lo, M. S., Reis, P. C., &amp; Sullivan, K. E. (2016). New insights into the </w:t>
            </w:r>
            <w:proofErr w:type="spellStart"/>
            <w:r w:rsidRPr="0054406D">
              <w:rPr>
                <w:rFonts w:ascii="Times New Roman" w:hAnsi="Times New Roman" w:cs="Times New Roman"/>
                <w:sz w:val="24"/>
                <w:szCs w:val="24"/>
              </w:rPr>
              <w:t>immunopathogenesis</w:t>
            </w:r>
            <w:proofErr w:type="spellEnd"/>
            <w:r w:rsidRPr="0054406D">
              <w:rPr>
                <w:rFonts w:ascii="Times New Roman" w:hAnsi="Times New Roman" w:cs="Times New Roman"/>
                <w:sz w:val="24"/>
                <w:szCs w:val="24"/>
              </w:rPr>
              <w:t xml:space="preserve"> of systemic lupus erythematosus. </w:t>
            </w:r>
            <w:r w:rsidRPr="0054406D">
              <w:rPr>
                <w:rFonts w:ascii="Times New Roman" w:hAnsi="Times New Roman" w:cs="Times New Roman"/>
                <w:i/>
                <w:iCs/>
                <w:sz w:val="24"/>
                <w:szCs w:val="24"/>
              </w:rPr>
              <w:t>Nature Reviews Rheumatology</w:t>
            </w:r>
            <w:r w:rsidRPr="0054406D">
              <w:rPr>
                <w:rFonts w:ascii="Times New Roman" w:hAnsi="Times New Roman" w:cs="Times New Roman"/>
                <w:sz w:val="24"/>
                <w:szCs w:val="24"/>
              </w:rPr>
              <w:t>, </w:t>
            </w:r>
            <w:r w:rsidRPr="0054406D">
              <w:rPr>
                <w:rFonts w:ascii="Times New Roman" w:hAnsi="Times New Roman" w:cs="Times New Roman"/>
                <w:i/>
                <w:iCs/>
                <w:sz w:val="24"/>
                <w:szCs w:val="24"/>
              </w:rPr>
              <w:t>12</w:t>
            </w:r>
            <w:r w:rsidRPr="0054406D">
              <w:rPr>
                <w:rFonts w:ascii="Times New Roman" w:hAnsi="Times New Roman" w:cs="Times New Roman"/>
                <w:sz w:val="24"/>
                <w:szCs w:val="24"/>
              </w:rPr>
              <w:t>(12), 716.</w:t>
            </w:r>
          </w:p>
        </w:tc>
      </w:tr>
    </w:tbl>
    <w:p w:rsidR="0054406D" w:rsidRPr="009E282D" w:rsidRDefault="0054406D" w:rsidP="009E282D">
      <w:pPr>
        <w:spacing w:line="480" w:lineRule="auto"/>
        <w:rPr>
          <w:rFonts w:ascii="Times New Roman" w:hAnsi="Times New Roman" w:cs="Times New Roman"/>
          <w:sz w:val="24"/>
          <w:szCs w:val="24"/>
        </w:rPr>
      </w:pPr>
    </w:p>
    <w:sectPr w:rsidR="0054406D" w:rsidRPr="009E28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EDD"/>
    <w:rsid w:val="00172EDD"/>
    <w:rsid w:val="0054406D"/>
    <w:rsid w:val="007C2D41"/>
    <w:rsid w:val="008D68E0"/>
    <w:rsid w:val="009E282D"/>
    <w:rsid w:val="00A11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55873-F546-4466-8373-604BFA60A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2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47949">
      <w:bodyDiv w:val="1"/>
      <w:marLeft w:val="0"/>
      <w:marRight w:val="0"/>
      <w:marTop w:val="0"/>
      <w:marBottom w:val="0"/>
      <w:divBdr>
        <w:top w:val="none" w:sz="0" w:space="0" w:color="auto"/>
        <w:left w:val="none" w:sz="0" w:space="0" w:color="auto"/>
        <w:bottom w:val="none" w:sz="0" w:space="0" w:color="auto"/>
        <w:right w:val="none" w:sz="0" w:space="0" w:color="auto"/>
      </w:divBdr>
      <w:divsChild>
        <w:div w:id="491289617">
          <w:marLeft w:val="0"/>
          <w:marRight w:val="0"/>
          <w:marTop w:val="0"/>
          <w:marBottom w:val="0"/>
          <w:divBdr>
            <w:top w:val="none" w:sz="0" w:space="0" w:color="auto"/>
            <w:left w:val="none" w:sz="0" w:space="0" w:color="auto"/>
            <w:bottom w:val="none" w:sz="0" w:space="0" w:color="auto"/>
            <w:right w:val="none" w:sz="0" w:space="0" w:color="auto"/>
          </w:divBdr>
        </w:div>
      </w:divsChild>
    </w:div>
    <w:div w:id="830676163">
      <w:bodyDiv w:val="1"/>
      <w:marLeft w:val="0"/>
      <w:marRight w:val="0"/>
      <w:marTop w:val="0"/>
      <w:marBottom w:val="0"/>
      <w:divBdr>
        <w:top w:val="none" w:sz="0" w:space="0" w:color="auto"/>
        <w:left w:val="none" w:sz="0" w:space="0" w:color="auto"/>
        <w:bottom w:val="none" w:sz="0" w:space="0" w:color="auto"/>
        <w:right w:val="none" w:sz="0" w:space="0" w:color="auto"/>
      </w:divBdr>
    </w:div>
    <w:div w:id="96025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augky</cp:lastModifiedBy>
  <cp:revision>2</cp:revision>
  <dcterms:created xsi:type="dcterms:W3CDTF">2020-10-12T15:57:00Z</dcterms:created>
  <dcterms:modified xsi:type="dcterms:W3CDTF">2020-10-12T15:57:00Z</dcterms:modified>
</cp:coreProperties>
</file>