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5D" w:rsidRPr="00895EC1" w:rsidRDefault="002E575D">
      <w:pPr>
        <w:rPr>
          <w:sz w:val="24"/>
          <w:szCs w:val="24"/>
        </w:rPr>
      </w:pPr>
      <w:bookmarkStart w:id="0" w:name="_GoBack"/>
      <w:bookmarkEnd w:id="0"/>
      <w:r w:rsidRPr="00895EC1">
        <w:rPr>
          <w:noProof/>
          <w:sz w:val="24"/>
          <w:szCs w:val="24"/>
        </w:rPr>
        <w:drawing>
          <wp:inline distT="0" distB="0" distL="0" distR="0">
            <wp:extent cx="5943600" cy="3749576"/>
            <wp:effectExtent l="0" t="0" r="0" b="3810"/>
            <wp:docPr id="1" name="Picture 1" descr="Image result for microag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aggres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49576"/>
                    </a:xfrm>
                    <a:prstGeom prst="rect">
                      <a:avLst/>
                    </a:prstGeom>
                    <a:noFill/>
                    <a:ln>
                      <a:noFill/>
                    </a:ln>
                  </pic:spPr>
                </pic:pic>
              </a:graphicData>
            </a:graphic>
          </wp:inline>
        </w:drawing>
      </w:r>
    </w:p>
    <w:p w:rsidR="00255A7F" w:rsidRPr="00895EC1" w:rsidRDefault="00255A7F">
      <w:pPr>
        <w:rPr>
          <w:i/>
          <w:sz w:val="24"/>
          <w:szCs w:val="24"/>
        </w:rPr>
      </w:pPr>
      <w:r w:rsidRPr="00895EC1">
        <w:rPr>
          <w:i/>
          <w:sz w:val="24"/>
          <w:szCs w:val="24"/>
        </w:rPr>
        <w:t xml:space="preserve">Racial </w:t>
      </w:r>
      <w:proofErr w:type="spellStart"/>
      <w:r w:rsidRPr="00895EC1">
        <w:rPr>
          <w:i/>
          <w:sz w:val="24"/>
          <w:szCs w:val="24"/>
        </w:rPr>
        <w:t>Microaggressions</w:t>
      </w:r>
      <w:proofErr w:type="spellEnd"/>
    </w:p>
    <w:p w:rsidR="002E575D" w:rsidRPr="00895EC1" w:rsidRDefault="002E575D">
      <w:pPr>
        <w:rPr>
          <w:sz w:val="24"/>
          <w:szCs w:val="24"/>
        </w:rPr>
      </w:pPr>
    </w:p>
    <w:p w:rsidR="00D52A59" w:rsidRPr="00895EC1" w:rsidRDefault="00D52A59">
      <w:pPr>
        <w:rPr>
          <w:sz w:val="24"/>
          <w:szCs w:val="24"/>
        </w:rPr>
      </w:pPr>
      <w:r w:rsidRPr="00895EC1">
        <w:rPr>
          <w:sz w:val="24"/>
          <w:szCs w:val="24"/>
        </w:rPr>
        <w:t>Concepts:</w:t>
      </w:r>
    </w:p>
    <w:p w:rsidR="00D52A59" w:rsidRPr="00895EC1" w:rsidRDefault="00D52A59">
      <w:pPr>
        <w:rPr>
          <w:sz w:val="24"/>
          <w:szCs w:val="24"/>
        </w:rPr>
      </w:pPr>
      <w:r w:rsidRPr="00895EC1">
        <w:rPr>
          <w:sz w:val="24"/>
          <w:szCs w:val="24"/>
        </w:rPr>
        <w:t>Implicit (Unconscious) Bias</w:t>
      </w:r>
    </w:p>
    <w:p w:rsidR="00D52A59" w:rsidRPr="00895EC1" w:rsidRDefault="00D52A59">
      <w:pPr>
        <w:rPr>
          <w:sz w:val="24"/>
          <w:szCs w:val="24"/>
        </w:rPr>
      </w:pPr>
      <w:proofErr w:type="spellStart"/>
      <w:r w:rsidRPr="00895EC1">
        <w:rPr>
          <w:sz w:val="24"/>
          <w:szCs w:val="24"/>
        </w:rPr>
        <w:t>Microaggression</w:t>
      </w:r>
      <w:proofErr w:type="spellEnd"/>
    </w:p>
    <w:p w:rsidR="00BD5B1C" w:rsidRPr="00895EC1" w:rsidRDefault="00BD5B1C">
      <w:pPr>
        <w:rPr>
          <w:sz w:val="24"/>
          <w:szCs w:val="24"/>
        </w:rPr>
      </w:pPr>
      <w:r w:rsidRPr="00895EC1">
        <w:rPr>
          <w:sz w:val="24"/>
          <w:szCs w:val="24"/>
        </w:rPr>
        <w:t>Prejudice</w:t>
      </w:r>
    </w:p>
    <w:p w:rsidR="00D52A59" w:rsidRPr="00895EC1" w:rsidRDefault="00D52A59">
      <w:pPr>
        <w:rPr>
          <w:sz w:val="24"/>
          <w:szCs w:val="24"/>
        </w:rPr>
      </w:pPr>
      <w:r w:rsidRPr="00895EC1">
        <w:rPr>
          <w:sz w:val="24"/>
          <w:szCs w:val="24"/>
        </w:rPr>
        <w:t>Discrimination</w:t>
      </w:r>
    </w:p>
    <w:p w:rsidR="00E86426" w:rsidRPr="00895EC1" w:rsidRDefault="002E575D">
      <w:pPr>
        <w:rPr>
          <w:sz w:val="24"/>
          <w:szCs w:val="24"/>
        </w:rPr>
      </w:pPr>
      <w:r w:rsidRPr="00895EC1">
        <w:rPr>
          <w:sz w:val="24"/>
          <w:szCs w:val="24"/>
        </w:rPr>
        <w:t>This u</w:t>
      </w:r>
      <w:r w:rsidR="006E391C" w:rsidRPr="00895EC1">
        <w:rPr>
          <w:sz w:val="24"/>
          <w:szCs w:val="24"/>
        </w:rPr>
        <w:t xml:space="preserve">nit continues to explore the relationship between race, power, and privilege by examining how racial prejudice and discrimination are enacted at different levels, including the individual and implicit; interactional; and institutional representational level. </w:t>
      </w:r>
      <w:r w:rsidR="00FB4AA0" w:rsidRPr="00895EC1">
        <w:rPr>
          <w:sz w:val="24"/>
          <w:szCs w:val="24"/>
        </w:rPr>
        <w:t xml:space="preserve">New research on the role of bias at the unconscious, or implicit (unintentional) level has indicated how this form of discrimination has effects in how students are treated in schools, citizens are treated by police, and patients are treated by doctors.  </w:t>
      </w:r>
      <w:r w:rsidR="00B702BA" w:rsidRPr="00895EC1">
        <w:rPr>
          <w:sz w:val="24"/>
          <w:szCs w:val="24"/>
        </w:rPr>
        <w:t>Along with this week</w:t>
      </w:r>
      <w:r w:rsidR="00B13AAD" w:rsidRPr="00895EC1">
        <w:rPr>
          <w:sz w:val="24"/>
          <w:szCs w:val="24"/>
        </w:rPr>
        <w:t>’</w:t>
      </w:r>
      <w:r w:rsidR="00B702BA" w:rsidRPr="00895EC1">
        <w:rPr>
          <w:sz w:val="24"/>
          <w:szCs w:val="24"/>
        </w:rPr>
        <w:t xml:space="preserve">s readings, these concepts indicate </w:t>
      </w:r>
      <w:r w:rsidR="00B702BA" w:rsidRPr="00895EC1">
        <w:rPr>
          <w:sz w:val="24"/>
          <w:szCs w:val="24"/>
        </w:rPr>
        <w:lastRenderedPageBreak/>
        <w:t xml:space="preserve">how deeply embedded racial privilege and discrimination are in all aspects of life, largely in ways that are unacknowledged, with great social impact.  As renewed (though not new) discussions and protest has centered </w:t>
      </w:r>
      <w:proofErr w:type="gramStart"/>
      <w:r w:rsidR="00B702BA" w:rsidRPr="00895EC1">
        <w:rPr>
          <w:sz w:val="24"/>
          <w:szCs w:val="24"/>
        </w:rPr>
        <w:t>around</w:t>
      </w:r>
      <w:proofErr w:type="gramEnd"/>
      <w:r w:rsidR="00B702BA" w:rsidRPr="00895EC1">
        <w:rPr>
          <w:sz w:val="24"/>
          <w:szCs w:val="24"/>
        </w:rPr>
        <w:t xml:space="preserve"> the public disp</w:t>
      </w:r>
      <w:r w:rsidR="00BD5B1C" w:rsidRPr="00895EC1">
        <w:rPr>
          <w:sz w:val="24"/>
          <w:szCs w:val="24"/>
        </w:rPr>
        <w:t xml:space="preserve">lay of Confederate monuments that celebrate those who fought to keep slavery legal. These monuments were erected at various points throughout history, including during the Civil Rights movement in the 1960’s, 100 years after the end of the Civil War. Additionally, there has been constant protest and critique of these monuments since they were erected, due to the lack of representation of other people’s histories in the same honor.  Herbert </w:t>
      </w:r>
      <w:proofErr w:type="spellStart"/>
      <w:r w:rsidR="00BD5B1C" w:rsidRPr="00895EC1">
        <w:rPr>
          <w:sz w:val="24"/>
          <w:szCs w:val="24"/>
        </w:rPr>
        <w:t>Blumer</w:t>
      </w:r>
      <w:proofErr w:type="spellEnd"/>
      <w:r w:rsidR="00BD5B1C" w:rsidRPr="00895EC1">
        <w:rPr>
          <w:sz w:val="24"/>
          <w:szCs w:val="24"/>
        </w:rPr>
        <w:t xml:space="preserve"> analyzes how this group membership, or allegiance, happens through forms of racial prejudice and the seeing other groups in oppositional, and inferior ways.  </w:t>
      </w:r>
      <w:r w:rsidR="00D07AEE" w:rsidRPr="00895EC1">
        <w:rPr>
          <w:sz w:val="24"/>
          <w:szCs w:val="24"/>
        </w:rPr>
        <w:t xml:space="preserve">Current trends indicate that hate crimes have increased, and that white </w:t>
      </w:r>
      <w:proofErr w:type="spellStart"/>
      <w:r w:rsidR="00D07AEE" w:rsidRPr="00895EC1">
        <w:rPr>
          <w:sz w:val="24"/>
          <w:szCs w:val="24"/>
        </w:rPr>
        <w:t>nationaliists</w:t>
      </w:r>
      <w:proofErr w:type="spellEnd"/>
      <w:r w:rsidR="00D07AEE" w:rsidRPr="00895EC1">
        <w:rPr>
          <w:sz w:val="24"/>
          <w:szCs w:val="24"/>
        </w:rPr>
        <w:t xml:space="preserve"> movements have been growing, exemplified by the </w:t>
      </w:r>
      <w:r w:rsidR="0026081C" w:rsidRPr="00895EC1">
        <w:rPr>
          <w:sz w:val="24"/>
          <w:szCs w:val="24"/>
        </w:rPr>
        <w:t>“Unite the Right” rally in Charlottesville, VA in August 2017 which included many self-identified white supremacist groups, in which one protestor was killed.  (</w:t>
      </w:r>
      <w:hyperlink r:id="rId8" w:history="1">
        <w:r w:rsidR="000260F8" w:rsidRPr="000260F8">
          <w:rPr>
            <w:rStyle w:val="Hyperlink"/>
            <w:sz w:val="24"/>
            <w:szCs w:val="24"/>
          </w:rPr>
          <w:t>Unite the Right Rally</w:t>
        </w:r>
      </w:hyperlink>
      <w:r w:rsidR="0026081C" w:rsidRPr="00895EC1">
        <w:rPr>
          <w:sz w:val="24"/>
          <w:szCs w:val="24"/>
        </w:rPr>
        <w:t xml:space="preserve">)  </w:t>
      </w:r>
    </w:p>
    <w:p w:rsidR="00E86426" w:rsidRPr="00895EC1" w:rsidRDefault="00E86426">
      <w:pPr>
        <w:rPr>
          <w:sz w:val="24"/>
          <w:szCs w:val="24"/>
        </w:rPr>
      </w:pPr>
      <w:r w:rsidRPr="00895EC1">
        <w:rPr>
          <w:noProof/>
          <w:sz w:val="24"/>
          <w:szCs w:val="24"/>
        </w:rPr>
        <w:drawing>
          <wp:inline distT="0" distB="0" distL="0" distR="0">
            <wp:extent cx="5943600" cy="3343275"/>
            <wp:effectExtent l="0" t="0" r="0" b="9525"/>
            <wp:docPr id="2" name="Picture 2" descr="Unite the Right organizer gets permit for 'white civil rights rally' i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 the Right organizer gets permit for 'white civil rights rally' in D.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E86426" w:rsidRPr="00895EC1" w:rsidRDefault="00E86426">
      <w:pPr>
        <w:rPr>
          <w:sz w:val="24"/>
          <w:szCs w:val="24"/>
        </w:rPr>
      </w:pPr>
    </w:p>
    <w:p w:rsidR="000260F8" w:rsidRDefault="0026081C">
      <w:pPr>
        <w:rPr>
          <w:sz w:val="24"/>
          <w:szCs w:val="24"/>
        </w:rPr>
      </w:pPr>
      <w:r w:rsidRPr="00895EC1">
        <w:rPr>
          <w:sz w:val="24"/>
          <w:szCs w:val="24"/>
        </w:rPr>
        <w:t xml:space="preserve"> With this personal and group identity formation around forms of racial superiority, sociologists identify the variances in forms of discrimination between the implicit and the explicit levels, particularly in how they can be mitigated.   Implicit bias and </w:t>
      </w:r>
      <w:proofErr w:type="spellStart"/>
      <w:r w:rsidRPr="00895EC1">
        <w:rPr>
          <w:sz w:val="24"/>
          <w:szCs w:val="24"/>
        </w:rPr>
        <w:t>microaggressions</w:t>
      </w:r>
      <w:proofErr w:type="spellEnd"/>
      <w:r w:rsidRPr="00895EC1">
        <w:rPr>
          <w:sz w:val="24"/>
          <w:szCs w:val="24"/>
        </w:rPr>
        <w:t xml:space="preserve"> are the results of being socialized in racialized society, while explicit identification </w:t>
      </w:r>
      <w:r w:rsidR="003D0C33" w:rsidRPr="00895EC1">
        <w:rPr>
          <w:sz w:val="24"/>
          <w:szCs w:val="24"/>
        </w:rPr>
        <w:t xml:space="preserve">and espousal of white supremacy, and the promotion of white idealism while deliberately diminishing the racial intent in monuments and ‘heritage’ arguments, all contribute to the racial stratification system, albeit, in different ways.  Without knowing how we participate in racial discrimination at the implicit </w:t>
      </w:r>
      <w:r w:rsidR="003D0C33" w:rsidRPr="00895EC1">
        <w:rPr>
          <w:sz w:val="24"/>
          <w:szCs w:val="24"/>
        </w:rPr>
        <w:lastRenderedPageBreak/>
        <w:t xml:space="preserve">and interactional level through </w:t>
      </w:r>
      <w:proofErr w:type="spellStart"/>
      <w:r w:rsidR="003D0C33" w:rsidRPr="00895EC1">
        <w:rPr>
          <w:sz w:val="24"/>
          <w:szCs w:val="24"/>
        </w:rPr>
        <w:t>microaggressions</w:t>
      </w:r>
      <w:proofErr w:type="spellEnd"/>
      <w:r w:rsidR="003D0C33" w:rsidRPr="00895EC1">
        <w:rPr>
          <w:sz w:val="24"/>
          <w:szCs w:val="24"/>
        </w:rPr>
        <w:t xml:space="preserve">, no attempt to change these behaviors can be made. Arguing that culture and heritage are justifications for things like monuments and symbolic forms fails to acknowledge the systemic inequality that exists in which ideologies and representations contribute to. </w:t>
      </w:r>
      <w:r w:rsidR="000977F6" w:rsidRPr="00895EC1">
        <w:rPr>
          <w:sz w:val="24"/>
          <w:szCs w:val="24"/>
        </w:rPr>
        <w:t>Greater visibility of white supremacy movements creates greater fear and discord among groups that are already targeted and marginalized.</w:t>
      </w:r>
    </w:p>
    <w:p w:rsidR="00FB4AA0" w:rsidRPr="00895EC1" w:rsidRDefault="00FB4AA0">
      <w:pPr>
        <w:rPr>
          <w:b/>
          <w:sz w:val="24"/>
          <w:szCs w:val="24"/>
        </w:rPr>
      </w:pPr>
      <w:r w:rsidRPr="00895EC1">
        <w:rPr>
          <w:b/>
          <w:sz w:val="24"/>
          <w:szCs w:val="24"/>
        </w:rPr>
        <w:t>Resources:</w:t>
      </w:r>
    </w:p>
    <w:p w:rsidR="00A27AF6" w:rsidRPr="00895EC1" w:rsidRDefault="000260F8" w:rsidP="00A27AF6">
      <w:pPr>
        <w:pStyle w:val="NormalWeb"/>
        <w:spacing w:before="0" w:beforeAutospacing="0" w:after="0" w:afterAutospacing="0"/>
        <w:textAlignment w:val="baseline"/>
        <w:rPr>
          <w:rFonts w:asciiTheme="minorHAnsi" w:eastAsiaTheme="minorHAnsi" w:hAnsiTheme="minorHAnsi" w:cstheme="minorBidi"/>
        </w:rPr>
      </w:pPr>
      <w:hyperlink r:id="rId10" w:history="1">
        <w:proofErr w:type="spellStart"/>
        <w:r w:rsidRPr="000260F8">
          <w:rPr>
            <w:rStyle w:val="Hyperlink"/>
            <w:rFonts w:asciiTheme="minorHAnsi" w:eastAsiaTheme="minorHAnsi" w:hAnsiTheme="minorHAnsi" w:cstheme="minorBidi"/>
          </w:rPr>
          <w:t>Microaggressions</w:t>
        </w:r>
        <w:proofErr w:type="spellEnd"/>
      </w:hyperlink>
    </w:p>
    <w:p w:rsidR="00552279" w:rsidRPr="00895EC1" w:rsidRDefault="00552279" w:rsidP="00A27AF6">
      <w:pPr>
        <w:pStyle w:val="NormalWeb"/>
        <w:spacing w:before="0" w:beforeAutospacing="0" w:after="0" w:afterAutospacing="0"/>
        <w:textAlignment w:val="baseline"/>
        <w:rPr>
          <w:rFonts w:asciiTheme="minorHAnsi" w:eastAsiaTheme="minorHAnsi" w:hAnsiTheme="minorHAnsi" w:cstheme="minorBidi"/>
        </w:rPr>
      </w:pPr>
    </w:p>
    <w:p w:rsidR="00A27AF6" w:rsidRPr="00895EC1" w:rsidRDefault="000260F8" w:rsidP="00A27AF6">
      <w:pPr>
        <w:pStyle w:val="NormalWeb"/>
        <w:spacing w:before="0" w:beforeAutospacing="0" w:after="0" w:afterAutospacing="0"/>
        <w:rPr>
          <w:rFonts w:asciiTheme="minorHAnsi" w:eastAsiaTheme="minorHAnsi" w:hAnsiTheme="minorHAnsi" w:cstheme="minorBidi"/>
        </w:rPr>
      </w:pPr>
      <w:hyperlink r:id="rId11" w:history="1">
        <w:r w:rsidR="00A27AF6" w:rsidRPr="000260F8">
          <w:rPr>
            <w:rStyle w:val="Hyperlink"/>
            <w:rFonts w:asciiTheme="minorHAnsi" w:eastAsiaTheme="minorHAnsi" w:hAnsiTheme="minorHAnsi" w:cstheme="minorBidi"/>
          </w:rPr>
          <w:t xml:space="preserve">“If </w:t>
        </w:r>
        <w:proofErr w:type="spellStart"/>
        <w:r w:rsidR="00A27AF6" w:rsidRPr="000260F8">
          <w:rPr>
            <w:rStyle w:val="Hyperlink"/>
            <w:rFonts w:asciiTheme="minorHAnsi" w:eastAsiaTheme="minorHAnsi" w:hAnsiTheme="minorHAnsi" w:cstheme="minorBidi"/>
          </w:rPr>
          <w:t>Microaggressions</w:t>
        </w:r>
        <w:proofErr w:type="spellEnd"/>
        <w:r w:rsidR="00A27AF6" w:rsidRPr="000260F8">
          <w:rPr>
            <w:rStyle w:val="Hyperlink"/>
            <w:rFonts w:asciiTheme="minorHAnsi" w:eastAsiaTheme="minorHAnsi" w:hAnsiTheme="minorHAnsi" w:cstheme="minorBidi"/>
          </w:rPr>
          <w:t xml:space="preserve"> Happ</w:t>
        </w:r>
        <w:r w:rsidRPr="000260F8">
          <w:rPr>
            <w:rStyle w:val="Hyperlink"/>
            <w:rFonts w:asciiTheme="minorHAnsi" w:eastAsiaTheme="minorHAnsi" w:hAnsiTheme="minorHAnsi" w:cstheme="minorBidi"/>
          </w:rPr>
          <w:t>ened to White People” MTV News</w:t>
        </w:r>
      </w:hyperlink>
    </w:p>
    <w:p w:rsidR="00A27AF6" w:rsidRPr="00895EC1" w:rsidRDefault="00A27AF6" w:rsidP="00A27AF6">
      <w:pPr>
        <w:pStyle w:val="NormalWeb"/>
        <w:spacing w:before="0" w:beforeAutospacing="0" w:after="0" w:afterAutospacing="0"/>
        <w:rPr>
          <w:rFonts w:ascii="Arial" w:hAnsi="Arial" w:cs="Arial"/>
          <w:color w:val="000000"/>
        </w:rPr>
      </w:pPr>
    </w:p>
    <w:p w:rsidR="00A27AF6" w:rsidRDefault="000260F8" w:rsidP="000260F8">
      <w:pPr>
        <w:pStyle w:val="NormalWeb"/>
        <w:spacing w:before="0" w:beforeAutospacing="0" w:after="0" w:afterAutospacing="0"/>
        <w:rPr>
          <w:rFonts w:asciiTheme="minorHAnsi" w:eastAsiaTheme="minorHAnsi" w:hAnsiTheme="minorHAnsi" w:cstheme="minorBidi"/>
        </w:rPr>
      </w:pPr>
      <w:hyperlink r:id="rId12" w:history="1">
        <w:proofErr w:type="spellStart"/>
        <w:r w:rsidRPr="000260F8">
          <w:rPr>
            <w:rStyle w:val="Hyperlink"/>
            <w:rFonts w:asciiTheme="minorHAnsi" w:eastAsiaTheme="minorHAnsi" w:hAnsiTheme="minorHAnsi" w:cstheme="minorBidi"/>
          </w:rPr>
          <w:t>Microaggressions</w:t>
        </w:r>
        <w:proofErr w:type="spellEnd"/>
      </w:hyperlink>
    </w:p>
    <w:p w:rsidR="000260F8" w:rsidRPr="00895EC1" w:rsidRDefault="000260F8" w:rsidP="000260F8">
      <w:pPr>
        <w:pStyle w:val="NormalWeb"/>
        <w:spacing w:before="0" w:beforeAutospacing="0" w:after="0" w:afterAutospacing="0"/>
      </w:pPr>
    </w:p>
    <w:p w:rsidR="00632F24" w:rsidRDefault="000260F8" w:rsidP="00632F24">
      <w:pPr>
        <w:spacing w:after="0" w:line="240" w:lineRule="auto"/>
        <w:rPr>
          <w:sz w:val="24"/>
          <w:szCs w:val="24"/>
        </w:rPr>
      </w:pPr>
      <w:hyperlink r:id="rId13" w:history="1">
        <w:r w:rsidRPr="000260F8">
          <w:rPr>
            <w:rStyle w:val="Hyperlink"/>
            <w:sz w:val="24"/>
            <w:szCs w:val="24"/>
          </w:rPr>
          <w:t>Study: Black Students More Likely Seen as Gifted by Black Teachers</w:t>
        </w:r>
      </w:hyperlink>
    </w:p>
    <w:p w:rsidR="000260F8" w:rsidRPr="00895EC1" w:rsidRDefault="000260F8" w:rsidP="00632F24">
      <w:pPr>
        <w:spacing w:after="0" w:line="240" w:lineRule="auto"/>
        <w:rPr>
          <w:sz w:val="24"/>
          <w:szCs w:val="24"/>
        </w:rPr>
      </w:pPr>
    </w:p>
    <w:p w:rsidR="00632F24" w:rsidRPr="00895EC1" w:rsidRDefault="000260F8" w:rsidP="00632F24">
      <w:pPr>
        <w:spacing w:after="0" w:line="240" w:lineRule="auto"/>
        <w:rPr>
          <w:sz w:val="24"/>
          <w:szCs w:val="24"/>
        </w:rPr>
      </w:pPr>
      <w:hyperlink r:id="rId14" w:history="1">
        <w:r w:rsidR="00632F24" w:rsidRPr="000260F8">
          <w:rPr>
            <w:rStyle w:val="Hyperlink"/>
            <w:sz w:val="24"/>
            <w:szCs w:val="24"/>
          </w:rPr>
          <w:t>“The Loss”. Impl</w:t>
        </w:r>
        <w:r w:rsidRPr="000260F8">
          <w:rPr>
            <w:rStyle w:val="Hyperlink"/>
            <w:sz w:val="24"/>
            <w:szCs w:val="24"/>
          </w:rPr>
          <w:t>icit Bias in Doctor’s Diagnosis</w:t>
        </w:r>
      </w:hyperlink>
    </w:p>
    <w:p w:rsidR="00632F24" w:rsidRPr="00895EC1" w:rsidRDefault="00632F24" w:rsidP="00632F24">
      <w:pPr>
        <w:spacing w:after="0" w:line="240" w:lineRule="auto"/>
        <w:rPr>
          <w:sz w:val="24"/>
          <w:szCs w:val="24"/>
        </w:rPr>
      </w:pPr>
    </w:p>
    <w:p w:rsidR="00632F24" w:rsidRDefault="000260F8" w:rsidP="00632F24">
      <w:pPr>
        <w:spacing w:after="0" w:line="240" w:lineRule="auto"/>
        <w:rPr>
          <w:sz w:val="24"/>
          <w:szCs w:val="24"/>
        </w:rPr>
      </w:pPr>
      <w:hyperlink r:id="rId15" w:history="1">
        <w:r w:rsidR="00632F24" w:rsidRPr="000260F8">
          <w:rPr>
            <w:rStyle w:val="Hyperlink"/>
            <w:sz w:val="24"/>
            <w:szCs w:val="24"/>
          </w:rPr>
          <w:t>“FBI: Spike in US Hate Crimes for Third Year in a Row</w:t>
        </w:r>
      </w:hyperlink>
    </w:p>
    <w:p w:rsidR="000260F8" w:rsidRPr="00895EC1" w:rsidRDefault="000260F8" w:rsidP="00632F24">
      <w:pPr>
        <w:spacing w:after="0" w:line="240" w:lineRule="auto"/>
        <w:rPr>
          <w:sz w:val="24"/>
          <w:szCs w:val="24"/>
        </w:rPr>
      </w:pPr>
    </w:p>
    <w:p w:rsidR="002E575D" w:rsidRPr="00895EC1" w:rsidRDefault="000260F8" w:rsidP="00632F24">
      <w:pPr>
        <w:spacing w:after="0" w:line="240" w:lineRule="auto"/>
        <w:rPr>
          <w:rFonts w:ascii="Arial" w:hAnsi="Arial" w:cs="Arial"/>
          <w:color w:val="000000"/>
          <w:sz w:val="24"/>
          <w:szCs w:val="24"/>
        </w:rPr>
      </w:pPr>
      <w:hyperlink r:id="rId16" w:history="1">
        <w:r w:rsidR="00AF3CEB" w:rsidRPr="000260F8">
          <w:rPr>
            <w:rStyle w:val="Hyperlink"/>
            <w:sz w:val="24"/>
            <w:szCs w:val="24"/>
          </w:rPr>
          <w:t>Podcast: Onate’s Foot. Story of controversial debate between European descendant and Native American tribes in the design of a new monument.</w:t>
        </w:r>
      </w:hyperlink>
      <w:r w:rsidR="00AF3CEB" w:rsidRPr="00895EC1">
        <w:rPr>
          <w:sz w:val="24"/>
          <w:szCs w:val="24"/>
        </w:rPr>
        <w:t xml:space="preserve"> </w:t>
      </w:r>
    </w:p>
    <w:p w:rsidR="00632F24" w:rsidRPr="00895EC1" w:rsidRDefault="00632F24" w:rsidP="00632F24">
      <w:pPr>
        <w:spacing w:after="0" w:line="240" w:lineRule="auto"/>
        <w:rPr>
          <w:sz w:val="24"/>
          <w:szCs w:val="24"/>
        </w:rPr>
      </w:pPr>
    </w:p>
    <w:p w:rsidR="002E575D" w:rsidRPr="00895EC1" w:rsidRDefault="000260F8" w:rsidP="00632F24">
      <w:pPr>
        <w:spacing w:after="0" w:line="240" w:lineRule="auto"/>
        <w:rPr>
          <w:rFonts w:cstheme="minorHAnsi"/>
          <w:color w:val="000000"/>
          <w:sz w:val="24"/>
          <w:szCs w:val="24"/>
        </w:rPr>
      </w:pPr>
      <w:hyperlink r:id="rId17" w:history="1">
        <w:r w:rsidR="002E575D" w:rsidRPr="000260F8">
          <w:rPr>
            <w:rStyle w:val="Hyperlink"/>
            <w:rFonts w:cstheme="minorHAnsi"/>
            <w:sz w:val="24"/>
            <w:szCs w:val="24"/>
          </w:rPr>
          <w:t>“You Won’t Believe What the Government Spends on Confederate Graves”</w:t>
        </w:r>
      </w:hyperlink>
      <w:r w:rsidR="002E575D" w:rsidRPr="00895EC1">
        <w:rPr>
          <w:rFonts w:cstheme="minorHAnsi"/>
          <w:color w:val="000000"/>
          <w:sz w:val="24"/>
          <w:szCs w:val="24"/>
        </w:rPr>
        <w:t xml:space="preserve"> </w:t>
      </w:r>
    </w:p>
    <w:p w:rsidR="00632F24" w:rsidRPr="00895EC1" w:rsidRDefault="00632F24" w:rsidP="00632F24">
      <w:pPr>
        <w:spacing w:after="0" w:line="240" w:lineRule="auto"/>
        <w:rPr>
          <w:sz w:val="24"/>
          <w:szCs w:val="24"/>
        </w:rPr>
      </w:pPr>
    </w:p>
    <w:p w:rsidR="002E575D" w:rsidRPr="00895EC1" w:rsidRDefault="000260F8" w:rsidP="00632F24">
      <w:pPr>
        <w:spacing w:after="0" w:line="240" w:lineRule="auto"/>
        <w:rPr>
          <w:sz w:val="24"/>
          <w:szCs w:val="24"/>
        </w:rPr>
      </w:pPr>
      <w:hyperlink r:id="rId18" w:history="1">
        <w:proofErr w:type="spellStart"/>
        <w:r w:rsidR="002E575D" w:rsidRPr="000260F8">
          <w:rPr>
            <w:rStyle w:val="Hyperlink"/>
            <w:sz w:val="24"/>
            <w:szCs w:val="24"/>
          </w:rPr>
          <w:t>Kirwan</w:t>
        </w:r>
        <w:proofErr w:type="spellEnd"/>
        <w:r w:rsidR="002E575D" w:rsidRPr="000260F8">
          <w:rPr>
            <w:rStyle w:val="Hyperlink"/>
            <w:sz w:val="24"/>
            <w:szCs w:val="24"/>
          </w:rPr>
          <w:t xml:space="preserve"> Institute: Understanding Implicit Bias</w:t>
        </w:r>
      </w:hyperlink>
    </w:p>
    <w:sectPr w:rsidR="002E575D" w:rsidRPr="00895EC1" w:rsidSect="0012152E">
      <w:headerReference w:type="defaul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F8" w:rsidRDefault="000260F8" w:rsidP="000260F8">
      <w:pPr>
        <w:spacing w:after="0" w:line="240" w:lineRule="auto"/>
      </w:pPr>
      <w:r>
        <w:separator/>
      </w:r>
    </w:p>
  </w:endnote>
  <w:endnote w:type="continuationSeparator" w:id="0">
    <w:p w:rsidR="000260F8" w:rsidRDefault="000260F8" w:rsidP="0002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F8" w:rsidRDefault="000260F8" w:rsidP="000260F8">
      <w:pPr>
        <w:spacing w:after="0" w:line="240" w:lineRule="auto"/>
      </w:pPr>
      <w:r>
        <w:separator/>
      </w:r>
    </w:p>
  </w:footnote>
  <w:footnote w:type="continuationSeparator" w:id="0">
    <w:p w:rsidR="000260F8" w:rsidRDefault="000260F8" w:rsidP="00026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F8" w:rsidRPr="00895EC1" w:rsidRDefault="000260F8" w:rsidP="000260F8">
    <w:pPr>
      <w:rPr>
        <w:b/>
        <w:sz w:val="28"/>
        <w:szCs w:val="28"/>
      </w:rPr>
    </w:pPr>
    <w:r>
      <w:ptab w:relativeTo="margin" w:alignment="center" w:leader="none"/>
    </w:r>
    <w:r w:rsidRPr="000260F8">
      <w:rPr>
        <w:b/>
        <w:sz w:val="28"/>
        <w:szCs w:val="28"/>
      </w:rPr>
      <w:t xml:space="preserve"> </w:t>
    </w:r>
    <w:r w:rsidRPr="00895EC1">
      <w:rPr>
        <w:b/>
        <w:sz w:val="28"/>
        <w:szCs w:val="28"/>
      </w:rPr>
      <w:t>SO342. Unit 4: Bias, Discrimination, Prejudice, and Racism</w:t>
    </w:r>
  </w:p>
  <w:p w:rsidR="000260F8" w:rsidRDefault="00026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66C1"/>
    <w:multiLevelType w:val="multilevel"/>
    <w:tmpl w:val="875A0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C7442"/>
    <w:multiLevelType w:val="multilevel"/>
    <w:tmpl w:val="CDF0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5672A"/>
    <w:multiLevelType w:val="hybridMultilevel"/>
    <w:tmpl w:val="2B46752A"/>
    <w:lvl w:ilvl="0" w:tplc="304ACF92">
      <w:start w:val="2"/>
      <w:numFmt w:val="decimal"/>
      <w:lvlText w:val="%1."/>
      <w:lvlJc w:val="left"/>
      <w:pPr>
        <w:tabs>
          <w:tab w:val="num" w:pos="720"/>
        </w:tabs>
        <w:ind w:left="720" w:hanging="360"/>
      </w:pPr>
    </w:lvl>
    <w:lvl w:ilvl="1" w:tplc="CC08E894">
      <w:start w:val="2"/>
      <w:numFmt w:val="lowerLetter"/>
      <w:lvlText w:val="%2."/>
      <w:lvlJc w:val="left"/>
      <w:pPr>
        <w:tabs>
          <w:tab w:val="num" w:pos="1440"/>
        </w:tabs>
        <w:ind w:left="1440" w:hanging="360"/>
      </w:pPr>
    </w:lvl>
    <w:lvl w:ilvl="2" w:tplc="136A4A44" w:tentative="1">
      <w:start w:val="1"/>
      <w:numFmt w:val="decimal"/>
      <w:lvlText w:val="%3."/>
      <w:lvlJc w:val="left"/>
      <w:pPr>
        <w:tabs>
          <w:tab w:val="num" w:pos="2160"/>
        </w:tabs>
        <w:ind w:left="2160" w:hanging="360"/>
      </w:pPr>
    </w:lvl>
    <w:lvl w:ilvl="3" w:tplc="7FD0BF48" w:tentative="1">
      <w:start w:val="1"/>
      <w:numFmt w:val="decimal"/>
      <w:lvlText w:val="%4."/>
      <w:lvlJc w:val="left"/>
      <w:pPr>
        <w:tabs>
          <w:tab w:val="num" w:pos="2880"/>
        </w:tabs>
        <w:ind w:left="2880" w:hanging="360"/>
      </w:pPr>
    </w:lvl>
    <w:lvl w:ilvl="4" w:tplc="BE402D58" w:tentative="1">
      <w:start w:val="1"/>
      <w:numFmt w:val="decimal"/>
      <w:lvlText w:val="%5."/>
      <w:lvlJc w:val="left"/>
      <w:pPr>
        <w:tabs>
          <w:tab w:val="num" w:pos="3600"/>
        </w:tabs>
        <w:ind w:left="3600" w:hanging="360"/>
      </w:pPr>
    </w:lvl>
    <w:lvl w:ilvl="5" w:tplc="D5C68528" w:tentative="1">
      <w:start w:val="1"/>
      <w:numFmt w:val="decimal"/>
      <w:lvlText w:val="%6."/>
      <w:lvlJc w:val="left"/>
      <w:pPr>
        <w:tabs>
          <w:tab w:val="num" w:pos="4320"/>
        </w:tabs>
        <w:ind w:left="4320" w:hanging="360"/>
      </w:pPr>
    </w:lvl>
    <w:lvl w:ilvl="6" w:tplc="F94EC9A6" w:tentative="1">
      <w:start w:val="1"/>
      <w:numFmt w:val="decimal"/>
      <w:lvlText w:val="%7."/>
      <w:lvlJc w:val="left"/>
      <w:pPr>
        <w:tabs>
          <w:tab w:val="num" w:pos="5040"/>
        </w:tabs>
        <w:ind w:left="5040" w:hanging="360"/>
      </w:pPr>
    </w:lvl>
    <w:lvl w:ilvl="7" w:tplc="588A28B2" w:tentative="1">
      <w:start w:val="1"/>
      <w:numFmt w:val="decimal"/>
      <w:lvlText w:val="%8."/>
      <w:lvlJc w:val="left"/>
      <w:pPr>
        <w:tabs>
          <w:tab w:val="num" w:pos="5760"/>
        </w:tabs>
        <w:ind w:left="5760" w:hanging="360"/>
      </w:pPr>
    </w:lvl>
    <w:lvl w:ilvl="8" w:tplc="8F8C518C" w:tentative="1">
      <w:start w:val="1"/>
      <w:numFmt w:val="decimal"/>
      <w:lvlText w:val="%9."/>
      <w:lvlJc w:val="left"/>
      <w:pPr>
        <w:tabs>
          <w:tab w:val="num" w:pos="6480"/>
        </w:tabs>
        <w:ind w:left="6480" w:hanging="360"/>
      </w:pPr>
    </w:lvl>
  </w:abstractNum>
  <w:abstractNum w:abstractNumId="3">
    <w:nsid w:val="54DB2F04"/>
    <w:multiLevelType w:val="hybridMultilevel"/>
    <w:tmpl w:val="358E075A"/>
    <w:lvl w:ilvl="0" w:tplc="CEA29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9522C"/>
    <w:multiLevelType w:val="hybridMultilevel"/>
    <w:tmpl w:val="773C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E78D8"/>
    <w:multiLevelType w:val="multilevel"/>
    <w:tmpl w:val="93244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1"/>
  </w:num>
  <w:num w:numId="4">
    <w:abstractNumId w:val="5"/>
    <w:lvlOverride w:ilvl="1">
      <w:lvl w:ilvl="1">
        <w:numFmt w:val="lowerLetter"/>
        <w:lvlText w:val="%2."/>
        <w:lvlJc w:val="left"/>
      </w:lvl>
    </w:lvlOverride>
  </w:num>
  <w:num w:numId="5">
    <w:abstractNumId w:val="2"/>
  </w:num>
  <w:num w:numId="6">
    <w:abstractNumId w:val="2"/>
    <w:lvlOverride w:ilvl="1">
      <w:lvl w:ilvl="1" w:tplc="CC08E894">
        <w:numFmt w:val="lowerLetter"/>
        <w:lvlText w:val="%2."/>
        <w:lvlJc w:val="left"/>
      </w:lvl>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5D"/>
    <w:rsid w:val="000260F8"/>
    <w:rsid w:val="000977F6"/>
    <w:rsid w:val="000C0B3F"/>
    <w:rsid w:val="0012152E"/>
    <w:rsid w:val="00255A7F"/>
    <w:rsid w:val="0026081C"/>
    <w:rsid w:val="002E575D"/>
    <w:rsid w:val="003D0C33"/>
    <w:rsid w:val="003F135D"/>
    <w:rsid w:val="004E0121"/>
    <w:rsid w:val="00552279"/>
    <w:rsid w:val="00610EEF"/>
    <w:rsid w:val="00624D99"/>
    <w:rsid w:val="00632F24"/>
    <w:rsid w:val="006E391C"/>
    <w:rsid w:val="007B4396"/>
    <w:rsid w:val="007E2D67"/>
    <w:rsid w:val="00843C50"/>
    <w:rsid w:val="00895EC1"/>
    <w:rsid w:val="008B79F1"/>
    <w:rsid w:val="00934ABD"/>
    <w:rsid w:val="00A27AF6"/>
    <w:rsid w:val="00A328F0"/>
    <w:rsid w:val="00AF3CEB"/>
    <w:rsid w:val="00B13AAD"/>
    <w:rsid w:val="00B702BA"/>
    <w:rsid w:val="00BD5B1C"/>
    <w:rsid w:val="00CB2C77"/>
    <w:rsid w:val="00CF1824"/>
    <w:rsid w:val="00D07AEE"/>
    <w:rsid w:val="00D52A59"/>
    <w:rsid w:val="00DA1A49"/>
    <w:rsid w:val="00DB710A"/>
    <w:rsid w:val="00DF0D6D"/>
    <w:rsid w:val="00E86426"/>
    <w:rsid w:val="00EC08AD"/>
    <w:rsid w:val="00FB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C5E1E-4B81-4DD8-989B-A49D0AED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1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710A"/>
    <w:rPr>
      <w:color w:val="0000FF"/>
      <w:u w:val="single"/>
    </w:rPr>
  </w:style>
  <w:style w:type="paragraph" w:styleId="ListParagraph">
    <w:name w:val="List Paragraph"/>
    <w:basedOn w:val="Normal"/>
    <w:uiPriority w:val="34"/>
    <w:qFormat/>
    <w:rsid w:val="007B4396"/>
    <w:pPr>
      <w:ind w:left="720"/>
      <w:contextualSpacing/>
    </w:pPr>
  </w:style>
  <w:style w:type="character" w:styleId="FollowedHyperlink">
    <w:name w:val="FollowedHyperlink"/>
    <w:basedOn w:val="DefaultParagraphFont"/>
    <w:uiPriority w:val="99"/>
    <w:semiHidden/>
    <w:unhideWhenUsed/>
    <w:rsid w:val="000260F8"/>
    <w:rPr>
      <w:color w:val="954F72" w:themeColor="followedHyperlink"/>
      <w:u w:val="single"/>
    </w:rPr>
  </w:style>
  <w:style w:type="paragraph" w:styleId="Header">
    <w:name w:val="header"/>
    <w:basedOn w:val="Normal"/>
    <w:link w:val="HeaderChar"/>
    <w:uiPriority w:val="99"/>
    <w:unhideWhenUsed/>
    <w:rsid w:val="00026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F8"/>
  </w:style>
  <w:style w:type="paragraph" w:styleId="Footer">
    <w:name w:val="footer"/>
    <w:basedOn w:val="Normal"/>
    <w:link w:val="FooterChar"/>
    <w:uiPriority w:val="99"/>
    <w:unhideWhenUsed/>
    <w:rsid w:val="00026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9380">
      <w:bodyDiv w:val="1"/>
      <w:marLeft w:val="0"/>
      <w:marRight w:val="0"/>
      <w:marTop w:val="0"/>
      <w:marBottom w:val="0"/>
      <w:divBdr>
        <w:top w:val="none" w:sz="0" w:space="0" w:color="auto"/>
        <w:left w:val="none" w:sz="0" w:space="0" w:color="auto"/>
        <w:bottom w:val="none" w:sz="0" w:space="0" w:color="auto"/>
        <w:right w:val="none" w:sz="0" w:space="0" w:color="auto"/>
      </w:divBdr>
    </w:div>
    <w:div w:id="20071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_the_Right_rally" TargetMode="External"/><Relationship Id="rId13" Type="http://schemas.openxmlformats.org/officeDocument/2006/relationships/hyperlink" Target="https://indianapublicmedia.org/stateimpact/2016/05/19/gifted-black-teachers/" TargetMode="External"/><Relationship Id="rId18" Type="http://schemas.openxmlformats.org/officeDocument/2006/relationships/hyperlink" Target="http://kirwaninstitute.osu.edu/research/understanding-implicit-bia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ph.umn.edu/site/docs/hewg/microaggressions.pdf" TargetMode="External"/><Relationship Id="rId17" Type="http://schemas.openxmlformats.org/officeDocument/2006/relationships/hyperlink" Target="https://www.theatlantic.com/politics/archive/2013/07/government-spending-confederate-graves/277931/" TargetMode="External"/><Relationship Id="rId2" Type="http://schemas.openxmlformats.org/officeDocument/2006/relationships/styles" Target="styles.xml"/><Relationship Id="rId16" Type="http://schemas.openxmlformats.org/officeDocument/2006/relationships/hyperlink" Target="https://99percentinvisible.org/episode/onates-foo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PRA4g-3yEk" TargetMode="External"/><Relationship Id="rId5" Type="http://schemas.openxmlformats.org/officeDocument/2006/relationships/footnotes" Target="footnotes.xml"/><Relationship Id="rId15" Type="http://schemas.openxmlformats.org/officeDocument/2006/relationships/hyperlink" Target="https://www.bbc.com/news/world-us-canada-46189391" TargetMode="External"/><Relationship Id="rId10" Type="http://schemas.openxmlformats.org/officeDocument/2006/relationships/hyperlink" Target="https://www.youtube.com/watch?v=BJL2P0JsAS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hemorningnews.org/article/the-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Brannon</dc:creator>
  <cp:keywords/>
  <dc:description/>
  <cp:lastModifiedBy>Umstattd, Leslie</cp:lastModifiedBy>
  <cp:revision>2</cp:revision>
  <dcterms:created xsi:type="dcterms:W3CDTF">2019-02-01T14:17:00Z</dcterms:created>
  <dcterms:modified xsi:type="dcterms:W3CDTF">2019-02-01T14:17:00Z</dcterms:modified>
</cp:coreProperties>
</file>