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BA236" w14:textId="77777777" w:rsidR="00905824" w:rsidRDefault="00905824" w:rsidP="00905824">
      <w:pPr>
        <w:pStyle w:val="NormalWeb"/>
        <w:spacing w:before="1368" w:beforeAutospacing="0" w:after="0" w:afterAutospacing="0"/>
        <w:ind w:left="360" w:right="470" w:firstLine="360"/>
        <w:rPr>
          <w:rFonts w:ascii="Arial" w:hAnsi="Arial" w:cs="Arial"/>
          <w:color w:val="000000"/>
        </w:rPr>
      </w:pPr>
      <w:r>
        <w:rPr>
          <w:rFonts w:ascii="Arial" w:hAnsi="Arial" w:cs="Arial"/>
          <w:b/>
          <w:bCs/>
          <w:color w:val="000000"/>
        </w:rPr>
        <w:t>CVS Health and the purchase of Aetna</w:t>
      </w:r>
    </w:p>
    <w:p w14:paraId="287F1CF6" w14:textId="6EA731BA" w:rsidR="00905824" w:rsidRPr="00905824" w:rsidRDefault="00905824" w:rsidP="00905824">
      <w:pPr>
        <w:pStyle w:val="NormalWeb"/>
        <w:spacing w:before="1368" w:beforeAutospacing="0" w:after="0" w:afterAutospacing="0"/>
        <w:ind w:left="360" w:right="470" w:firstLine="360"/>
        <w:rPr>
          <w:rFonts w:ascii="Arial" w:hAnsi="Arial" w:cs="Arial"/>
          <w:color w:val="000000"/>
        </w:rPr>
      </w:pPr>
      <w:r>
        <w:rPr>
          <w:rFonts w:ascii="Arial" w:hAnsi="Arial" w:cs="Arial"/>
          <w:color w:val="000000"/>
        </w:rPr>
        <w:t xml:space="preserve">In December 2017, CVS Health Corporation announced the agreement to purchase Aetna Inc. for $69 billion combining the giant retail drugstore with one of the largest health insurance companies in the United States. Under the terms of the agreement, CVS would acquire </w:t>
      </w:r>
      <w:proofErr w:type="gramStart"/>
      <w:r>
        <w:rPr>
          <w:rFonts w:ascii="Arial" w:hAnsi="Arial" w:cs="Arial"/>
          <w:color w:val="000000"/>
        </w:rPr>
        <w:t>all of</w:t>
      </w:r>
      <w:proofErr w:type="gramEnd"/>
      <w:r>
        <w:rPr>
          <w:rFonts w:ascii="Arial" w:hAnsi="Arial" w:cs="Arial"/>
          <w:color w:val="000000"/>
        </w:rPr>
        <w:t xml:space="preserve"> the outstanding shares of Aetna financed through the use of cash and common stock. Each Aetna shareholder would receive .8378 shares of CVS Health and $145.00 per share in cash. Total valuation of Aetna is approximately $207 per share and CVS Health would assume all of Aetna’s liabilities. The total purchase price for the transaction is therefore approximately $77 billion although based on CVS Health’s stock valuation could move slightly up or down depending on the equity markets up until the closing date.</w:t>
      </w:r>
      <w:r>
        <w:rPr>
          <w:rFonts w:ascii="Arial" w:hAnsi="Arial" w:cs="Arial"/>
          <w:color w:val="000000"/>
          <w:sz w:val="16"/>
          <w:szCs w:val="16"/>
          <w:vertAlign w:val="superscript"/>
        </w:rPr>
        <w:t>1 </w:t>
      </w:r>
    </w:p>
    <w:p w14:paraId="2F86DBF1" w14:textId="77777777" w:rsidR="00905824" w:rsidRDefault="00905824" w:rsidP="00905824">
      <w:pPr>
        <w:pStyle w:val="NormalWeb"/>
        <w:spacing w:before="312" w:beforeAutospacing="0" w:after="0" w:afterAutospacing="0"/>
        <w:ind w:left="360" w:right="384" w:firstLine="360"/>
      </w:pPr>
      <w:r>
        <w:rPr>
          <w:rFonts w:ascii="Arial" w:hAnsi="Arial" w:cs="Arial"/>
          <w:color w:val="000000"/>
        </w:rPr>
        <w:t xml:space="preserve">The estimated closing date for the proposed acquisition is sometime during the second </w:t>
      </w:r>
      <w:proofErr w:type="gramStart"/>
      <w:r>
        <w:rPr>
          <w:rFonts w:ascii="Arial" w:hAnsi="Arial" w:cs="Arial"/>
          <w:color w:val="000000"/>
        </w:rPr>
        <w:t>half of 2018, but</w:t>
      </w:r>
      <w:proofErr w:type="gramEnd"/>
      <w:r>
        <w:rPr>
          <w:rFonts w:ascii="Arial" w:hAnsi="Arial" w:cs="Arial"/>
          <w:color w:val="000000"/>
        </w:rPr>
        <w:t xml:space="preserve"> will be subject to the approval of both company’s shareholders and board of directors. In addition, the transaction will have to wait for the expiration of the waiting period under the federal Hart-Scott-</w:t>
      </w:r>
      <w:proofErr w:type="spellStart"/>
      <w:r>
        <w:rPr>
          <w:rFonts w:ascii="Arial" w:hAnsi="Arial" w:cs="Arial"/>
          <w:color w:val="000000"/>
        </w:rPr>
        <w:t>Rodino</w:t>
      </w:r>
      <w:proofErr w:type="spellEnd"/>
      <w:r>
        <w:rPr>
          <w:rFonts w:ascii="Arial" w:hAnsi="Arial" w:cs="Arial"/>
          <w:color w:val="000000"/>
        </w:rPr>
        <w:t xml:space="preserve"> Antitrust Improvements Act of 1976 or the HSR Act to provide ample time for regulators to review the acquisition. In addition to federal regulatory approval, such as from the Department of Justice (DOJ) and Federal Trade Commission (FTC), the transaction will also need the blessing of state departments of insurance </w:t>
      </w:r>
      <w:proofErr w:type="gramStart"/>
      <w:r>
        <w:rPr>
          <w:rFonts w:ascii="Arial" w:hAnsi="Arial" w:cs="Arial"/>
          <w:color w:val="000000"/>
        </w:rPr>
        <w:t>and also</w:t>
      </w:r>
      <w:proofErr w:type="gramEnd"/>
      <w:r>
        <w:rPr>
          <w:rFonts w:ascii="Arial" w:hAnsi="Arial" w:cs="Arial"/>
          <w:color w:val="000000"/>
        </w:rPr>
        <w:t xml:space="preserve"> international regulators. </w:t>
      </w:r>
    </w:p>
    <w:p w14:paraId="63B06678" w14:textId="77777777" w:rsidR="00905824" w:rsidRDefault="00905824" w:rsidP="00905824">
      <w:pPr>
        <w:pStyle w:val="NormalWeb"/>
        <w:spacing w:before="307" w:beforeAutospacing="0" w:after="0" w:afterAutospacing="0"/>
        <w:ind w:left="360" w:right="485" w:firstLine="360"/>
      </w:pPr>
      <w:r>
        <w:rPr>
          <w:rFonts w:ascii="Arial" w:hAnsi="Arial" w:cs="Arial"/>
          <w:color w:val="000000"/>
        </w:rPr>
        <w:t>The merger, the largest of the year, would reshape how we look at health care by combining two entities within an industry that have traditionally been kept apart. It is thought that the deal would be more appealing to consumers as health care that was once delivered in a physician’s office has moved to a simple phone call, retail clinic or outlet, or through an app.</w:t>
      </w:r>
      <w:r>
        <w:rPr>
          <w:rFonts w:ascii="Arial" w:hAnsi="Arial" w:cs="Arial"/>
          <w:color w:val="000000"/>
          <w:sz w:val="16"/>
          <w:szCs w:val="16"/>
          <w:vertAlign w:val="superscript"/>
        </w:rPr>
        <w:t>2 </w:t>
      </w:r>
    </w:p>
    <w:p w14:paraId="0157F319" w14:textId="77777777" w:rsidR="00905824" w:rsidRDefault="00905824" w:rsidP="00905824">
      <w:pPr>
        <w:pStyle w:val="NormalWeb"/>
        <w:spacing w:before="307" w:beforeAutospacing="0" w:after="0" w:afterAutospacing="0"/>
        <w:ind w:left="360" w:right="403" w:firstLine="360"/>
      </w:pPr>
      <w:r>
        <w:rPr>
          <w:rFonts w:ascii="Arial" w:hAnsi="Arial" w:cs="Arial"/>
          <w:color w:val="000000"/>
        </w:rPr>
        <w:t>The transaction also comes at a great sign of uncertainty and risk in the health care market. Under the present Congress and White House, health care has been under attack with provisions under the Affordable Care Act eliminated and the budget for Medicare with the approved tax cuts uncertain. Adding to the uncertainty, companies and employees are struggling under the growing cost of health insurance and medical costs combined with an escalating rise in the price of prescription drugs. </w:t>
      </w:r>
    </w:p>
    <w:p w14:paraId="2615AFF8" w14:textId="77777777" w:rsidR="00905824" w:rsidRDefault="00905824" w:rsidP="00905824">
      <w:pPr>
        <w:pStyle w:val="NormalWeb"/>
        <w:spacing w:before="312" w:beforeAutospacing="0" w:after="0" w:afterAutospacing="0"/>
        <w:ind w:left="360" w:right="485" w:firstLine="360"/>
        <w:jc w:val="both"/>
      </w:pPr>
      <w:r>
        <w:rPr>
          <w:rFonts w:ascii="Arial" w:hAnsi="Arial" w:cs="Arial"/>
          <w:color w:val="000000"/>
        </w:rPr>
        <w:lastRenderedPageBreak/>
        <w:t>Although unclear, raising questions of how the market may end up looking is Amazon and their rumored interest into entering the health care industry, specifically the pharmaceutical business, utilizing its rapidly advancing technology. </w:t>
      </w:r>
    </w:p>
    <w:p w14:paraId="290C852D" w14:textId="77777777" w:rsidR="00905824" w:rsidRDefault="00905824" w:rsidP="00905824">
      <w:pPr>
        <w:pStyle w:val="NormalWeb"/>
        <w:spacing w:before="312" w:beforeAutospacing="0" w:after="0" w:afterAutospacing="0"/>
        <w:ind w:left="360" w:right="432" w:firstLine="360"/>
      </w:pPr>
      <w:r>
        <w:rPr>
          <w:rFonts w:ascii="Arial" w:hAnsi="Arial" w:cs="Arial"/>
          <w:color w:val="000000"/>
        </w:rPr>
        <w:t>The combination of the two companies would create a patient flow that includes pharmacies, retail clinics, and a health insurance company. The new company. Employers could benefit from this model that resembles a “one-stop shop” </w:t>
      </w:r>
    </w:p>
    <w:p w14:paraId="605DEAA5" w14:textId="77777777" w:rsidR="00905824" w:rsidRDefault="00905824" w:rsidP="00905824">
      <w:pPr>
        <w:pStyle w:val="NormalWeb"/>
        <w:spacing w:before="379" w:beforeAutospacing="0" w:after="0" w:afterAutospacing="0"/>
        <w:ind w:left="360" w:right="619"/>
      </w:pPr>
      <w:r>
        <w:rPr>
          <w:rFonts w:ascii="Arial" w:hAnsi="Arial" w:cs="Arial"/>
          <w:color w:val="000000"/>
          <w:sz w:val="13"/>
          <w:szCs w:val="13"/>
        </w:rPr>
        <w:t xml:space="preserve">1 </w:t>
      </w:r>
      <w:r>
        <w:rPr>
          <w:rFonts w:ascii="Arial" w:hAnsi="Arial" w:cs="Arial"/>
          <w:color w:val="000000"/>
          <w:sz w:val="20"/>
          <w:szCs w:val="20"/>
          <w:vertAlign w:val="subscript"/>
        </w:rPr>
        <w:t xml:space="preserve">CVS Health Corporation. United States Securities and Exchange Commission. Annual Report. </w:t>
      </w:r>
      <w:r>
        <w:rPr>
          <w:rFonts w:ascii="Arial" w:hAnsi="Arial" w:cs="Arial"/>
          <w:color w:val="000000"/>
          <w:sz w:val="20"/>
          <w:szCs w:val="20"/>
        </w:rPr>
        <w:t xml:space="preserve">Form 10K. December 31, 2017 </w:t>
      </w:r>
      <w:r>
        <w:rPr>
          <w:rFonts w:ascii="Arial" w:hAnsi="Arial" w:cs="Arial"/>
          <w:color w:val="000000"/>
          <w:sz w:val="13"/>
          <w:szCs w:val="13"/>
        </w:rPr>
        <w:t xml:space="preserve">2 </w:t>
      </w:r>
      <w:r>
        <w:rPr>
          <w:rFonts w:ascii="Arial" w:hAnsi="Arial" w:cs="Arial"/>
          <w:color w:val="000000"/>
          <w:sz w:val="20"/>
          <w:szCs w:val="20"/>
          <w:vertAlign w:val="subscript"/>
        </w:rPr>
        <w:t xml:space="preserve">De la Merced, M. and Abelson, R. “CVS to Buy Aetna for $69 Billion in a Deal that may Reshape </w:t>
      </w:r>
      <w:r>
        <w:rPr>
          <w:rFonts w:ascii="Arial" w:hAnsi="Arial" w:cs="Arial"/>
          <w:color w:val="000000"/>
          <w:sz w:val="20"/>
          <w:szCs w:val="20"/>
        </w:rPr>
        <w:t>the Health Industry.” The New York Times December 3, 2017 </w:t>
      </w:r>
    </w:p>
    <w:p w14:paraId="0DFFB597" w14:textId="77777777" w:rsidR="00905824" w:rsidRDefault="00905824" w:rsidP="00905824">
      <w:pPr>
        <w:pStyle w:val="NormalWeb"/>
        <w:spacing w:before="475" w:beforeAutospacing="0" w:after="0" w:afterAutospacing="0"/>
        <w:ind w:left="4454" w:right="4445"/>
      </w:pPr>
      <w:r>
        <w:rPr>
          <w:rFonts w:ascii="Arial" w:hAnsi="Arial" w:cs="Arial"/>
          <w:color w:val="000000"/>
        </w:rPr>
        <w:t>1 </w:t>
      </w:r>
    </w:p>
    <w:p w14:paraId="25E62465" w14:textId="77777777" w:rsidR="00905824" w:rsidRDefault="00905824" w:rsidP="00905824">
      <w:pPr>
        <w:pStyle w:val="NormalWeb"/>
        <w:spacing w:before="0" w:beforeAutospacing="0" w:after="0" w:afterAutospacing="0"/>
        <w:ind w:left="360" w:right="946"/>
      </w:pPr>
      <w:r>
        <w:rPr>
          <w:rFonts w:ascii="Arial" w:hAnsi="Arial" w:cs="Arial"/>
          <w:color w:val="000000"/>
        </w:rPr>
        <w:t>approach to health care. The outpatient model is considered one that would also reduce expenditures and more affordable to the system. </w:t>
      </w:r>
    </w:p>
    <w:p w14:paraId="090EF58F" w14:textId="77777777" w:rsidR="00905824" w:rsidRDefault="00905824" w:rsidP="00905824">
      <w:pPr>
        <w:pStyle w:val="NormalWeb"/>
        <w:spacing w:before="317" w:beforeAutospacing="0" w:after="0" w:afterAutospacing="0"/>
        <w:ind w:left="360" w:right="442" w:firstLine="360"/>
      </w:pPr>
      <w:r>
        <w:rPr>
          <w:rFonts w:ascii="Arial" w:hAnsi="Arial" w:cs="Arial"/>
          <w:color w:val="000000"/>
        </w:rPr>
        <w:t>As part of the announcement, both companies outlined a plan that would transform CVS’s 10,000 pharmacy and clinical locations into “community based” clinics that delivered care with technology and a health data system. Patients could conceivably visit a clinic for the flu, but also be monitored for hypertension, diabetes, or chronic heart disease. </w:t>
      </w:r>
    </w:p>
    <w:p w14:paraId="1DEF31A3" w14:textId="77777777" w:rsidR="00905824" w:rsidRDefault="00905824" w:rsidP="00905824">
      <w:pPr>
        <w:pStyle w:val="NormalWeb"/>
        <w:spacing w:before="317" w:beforeAutospacing="0" w:after="0" w:afterAutospacing="0"/>
        <w:ind w:left="360" w:right="398" w:firstLine="360"/>
      </w:pPr>
      <w:r>
        <w:rPr>
          <w:rFonts w:ascii="Arial" w:hAnsi="Arial" w:cs="Arial"/>
          <w:color w:val="000000"/>
        </w:rPr>
        <w:t>This deal is a bit unusual than the traditional merger between two similar companies. Horizontal transactions, while they can be highly scrutinized by regulators for potential antitrust violations, if successful will yield significant expenditure reductions through synergies and economies of scale. Vertical transactions such as a CVS\Aetna marriage will result in fewer reductions in expenditures and perhaps increase the costs of competing insurance companies that wish to access CVS’s large number of pharmacies and clinics. If likely approved, further acquisitions between additional similar pharmaceutical chains and large health insurance companies. In fact, just a few months following the announcement of this transaction, Walmart expressed an interest in the purchase of Humana. </w:t>
      </w:r>
    </w:p>
    <w:p w14:paraId="7C500703" w14:textId="77777777" w:rsidR="00905824" w:rsidRDefault="00905824" w:rsidP="00905824">
      <w:pPr>
        <w:pStyle w:val="NormalWeb"/>
        <w:spacing w:before="307" w:beforeAutospacing="0" w:after="0" w:afterAutospacing="0"/>
        <w:ind w:left="360" w:right="370" w:firstLine="360"/>
      </w:pPr>
      <w:r>
        <w:rPr>
          <w:rFonts w:ascii="Arial" w:hAnsi="Arial" w:cs="Arial"/>
          <w:color w:val="000000"/>
        </w:rPr>
        <w:t>Regardless, the shareholders approved the merger by a 98% margin that would combine the service of pharmacists, health care providers, and insurance companies. The argument is that it will benefit both patients, shareholders, and insurance companies obviously concerned about cost. This comes at a time whereby “Amazon, Berkshire Hathaway and JPMorgan announced in January that they’re working together to create a new health care venture for their own staff aimed at improving employee satisfaction and reducing costs.</w:t>
      </w:r>
      <w:r>
        <w:rPr>
          <w:rFonts w:ascii="Arial" w:hAnsi="Arial" w:cs="Arial"/>
          <w:color w:val="000000"/>
          <w:sz w:val="16"/>
          <w:szCs w:val="16"/>
          <w:vertAlign w:val="superscript"/>
        </w:rPr>
        <w:t>3 </w:t>
      </w:r>
    </w:p>
    <w:p w14:paraId="252A0543" w14:textId="77777777" w:rsidR="00905824" w:rsidRDefault="00905824" w:rsidP="00905824">
      <w:pPr>
        <w:pStyle w:val="NormalWeb"/>
        <w:spacing w:before="590" w:beforeAutospacing="0" w:after="0" w:afterAutospacing="0"/>
        <w:ind w:left="360" w:right="5266"/>
      </w:pPr>
      <w:r>
        <w:rPr>
          <w:rFonts w:ascii="Arial" w:hAnsi="Arial" w:cs="Arial"/>
          <w:b/>
          <w:bCs/>
          <w:color w:val="000000"/>
        </w:rPr>
        <w:lastRenderedPageBreak/>
        <w:t>Governmental Possible Concerns </w:t>
      </w:r>
    </w:p>
    <w:p w14:paraId="5818A8E4" w14:textId="77777777" w:rsidR="00905824" w:rsidRDefault="00905824" w:rsidP="00905824">
      <w:pPr>
        <w:pStyle w:val="NormalWeb"/>
        <w:spacing w:before="312" w:beforeAutospacing="0" w:after="0" w:afterAutospacing="0"/>
        <w:ind w:left="360" w:right="437" w:firstLine="360"/>
      </w:pPr>
      <w:r>
        <w:rPr>
          <w:rFonts w:ascii="Arial" w:hAnsi="Arial" w:cs="Arial"/>
          <w:color w:val="000000"/>
        </w:rPr>
        <w:t xml:space="preserve">Under normal circumstances, this vertical transaction would fly through the approval process. Unfortunately, </w:t>
      </w:r>
      <w:proofErr w:type="gramStart"/>
      <w:r>
        <w:rPr>
          <w:rFonts w:ascii="Arial" w:hAnsi="Arial" w:cs="Arial"/>
          <w:color w:val="000000"/>
        </w:rPr>
        <w:t>we’re</w:t>
      </w:r>
      <w:proofErr w:type="gramEnd"/>
      <w:r>
        <w:rPr>
          <w:rFonts w:ascii="Arial" w:hAnsi="Arial" w:cs="Arial"/>
          <w:color w:val="000000"/>
        </w:rPr>
        <w:t xml:space="preserve"> not there yet because of the size of these two companies. These are two large corporations that have a significant ownership of their respective market. </w:t>
      </w:r>
    </w:p>
    <w:p w14:paraId="45140C98" w14:textId="77777777" w:rsidR="00905824" w:rsidRDefault="00905824" w:rsidP="00905824">
      <w:pPr>
        <w:pStyle w:val="NormalWeb"/>
        <w:spacing w:before="307" w:beforeAutospacing="0" w:after="0" w:afterAutospacing="0"/>
        <w:ind w:left="360" w:right="384" w:firstLine="360"/>
      </w:pPr>
      <w:r>
        <w:rPr>
          <w:rFonts w:ascii="Arial" w:hAnsi="Arial" w:cs="Arial"/>
          <w:color w:val="000000"/>
        </w:rPr>
        <w:t xml:space="preserve">Okay... Strange...The Trump administration is not ready to sign off on this merger despite a campaign of </w:t>
      </w:r>
      <w:proofErr w:type="gramStart"/>
      <w:r>
        <w:rPr>
          <w:rFonts w:ascii="Arial" w:hAnsi="Arial" w:cs="Arial"/>
          <w:color w:val="000000"/>
        </w:rPr>
        <w:t>business friendly</w:t>
      </w:r>
      <w:proofErr w:type="gramEnd"/>
      <w:r>
        <w:rPr>
          <w:rFonts w:ascii="Arial" w:hAnsi="Arial" w:cs="Arial"/>
          <w:color w:val="000000"/>
        </w:rPr>
        <w:t xml:space="preserve"> verbal rhetorical speeches. What was thought to be a business-friendly environment has turned out to be one of skeptical observance. </w:t>
      </w:r>
      <w:proofErr w:type="gramStart"/>
      <w:r>
        <w:rPr>
          <w:rFonts w:ascii="Arial" w:hAnsi="Arial" w:cs="Arial"/>
          <w:color w:val="000000"/>
        </w:rPr>
        <w:t>This,</w:t>
      </w:r>
      <w:proofErr w:type="gramEnd"/>
      <w:r>
        <w:rPr>
          <w:rFonts w:ascii="Arial" w:hAnsi="Arial" w:cs="Arial"/>
          <w:color w:val="000000"/>
        </w:rPr>
        <w:t xml:space="preserve"> is actually a good thing. All mergers during the Hart Scott </w:t>
      </w:r>
      <w:proofErr w:type="spellStart"/>
      <w:r>
        <w:rPr>
          <w:rFonts w:ascii="Arial" w:hAnsi="Arial" w:cs="Arial"/>
          <w:color w:val="000000"/>
        </w:rPr>
        <w:t>Rodino</w:t>
      </w:r>
      <w:proofErr w:type="spellEnd"/>
      <w:r>
        <w:rPr>
          <w:rFonts w:ascii="Arial" w:hAnsi="Arial" w:cs="Arial"/>
          <w:color w:val="000000"/>
        </w:rPr>
        <w:t xml:space="preserve"> Filing should be analyzed and tested for potential industry influence. This transaction is very complicated and should be on the front burner despite the vertical nature of the deal. This transaction could very well impact the entire health care market despite its vertical nature. The question is </w:t>
      </w:r>
      <w:proofErr w:type="gramStart"/>
      <w:r>
        <w:rPr>
          <w:rFonts w:ascii="Arial" w:hAnsi="Arial" w:cs="Arial"/>
          <w:color w:val="000000"/>
        </w:rPr>
        <w:t>whether or not</w:t>
      </w:r>
      <w:proofErr w:type="gramEnd"/>
      <w:r>
        <w:rPr>
          <w:rFonts w:ascii="Arial" w:hAnsi="Arial" w:cs="Arial"/>
          <w:color w:val="000000"/>
        </w:rPr>
        <w:t xml:space="preserve"> the vertical transaction would impact the market. Despite the underwhelming concerns over the </w:t>
      </w:r>
    </w:p>
    <w:p w14:paraId="2D33EDEC" w14:textId="77777777" w:rsidR="00905824" w:rsidRDefault="00905824" w:rsidP="00905824">
      <w:pPr>
        <w:pStyle w:val="NormalWeb"/>
        <w:spacing w:before="1344" w:beforeAutospacing="0" w:after="0" w:afterAutospacing="0"/>
        <w:ind w:left="360" w:right="552"/>
      </w:pPr>
      <w:r>
        <w:rPr>
          <w:rFonts w:ascii="Arial" w:hAnsi="Arial" w:cs="Arial"/>
          <w:color w:val="000000"/>
          <w:sz w:val="13"/>
          <w:szCs w:val="13"/>
        </w:rPr>
        <w:t xml:space="preserve">3 </w:t>
      </w:r>
      <w:r>
        <w:rPr>
          <w:rFonts w:ascii="Arial" w:hAnsi="Arial" w:cs="Arial"/>
          <w:color w:val="000000"/>
          <w:sz w:val="20"/>
          <w:szCs w:val="20"/>
          <w:vertAlign w:val="subscript"/>
        </w:rPr>
        <w:t>Weixel, N. “Shareholders overwhelmingly approve CVS-Aetna merger.” The Hill March 13, 2018 </w:t>
      </w:r>
    </w:p>
    <w:p w14:paraId="3C3B543F" w14:textId="77777777" w:rsidR="00905824" w:rsidRDefault="00905824" w:rsidP="00905824">
      <w:pPr>
        <w:pStyle w:val="NormalWeb"/>
        <w:spacing w:before="475" w:beforeAutospacing="0" w:after="0" w:afterAutospacing="0"/>
        <w:ind w:left="4454" w:right="4445"/>
      </w:pPr>
      <w:r>
        <w:rPr>
          <w:rFonts w:ascii="Arial" w:hAnsi="Arial" w:cs="Arial"/>
          <w:color w:val="000000"/>
        </w:rPr>
        <w:t>2 </w:t>
      </w:r>
    </w:p>
    <w:p w14:paraId="4B1BC2BD" w14:textId="77777777" w:rsidR="00905824" w:rsidRDefault="00905824" w:rsidP="00905824">
      <w:pPr>
        <w:pStyle w:val="NormalWeb"/>
        <w:spacing w:before="0" w:beforeAutospacing="0" w:after="0" w:afterAutospacing="0"/>
        <w:ind w:left="360" w:right="6000"/>
      </w:pPr>
      <w:r>
        <w:rPr>
          <w:rFonts w:ascii="Arial" w:hAnsi="Arial" w:cs="Arial"/>
          <w:b/>
          <w:bCs/>
          <w:color w:val="000000"/>
        </w:rPr>
        <w:t>CVS Health Corporation</w:t>
      </w:r>
      <w:r>
        <w:rPr>
          <w:rFonts w:ascii="Arial" w:hAnsi="Arial" w:cs="Arial"/>
          <w:b/>
          <w:bCs/>
          <w:color w:val="000000"/>
          <w:sz w:val="16"/>
          <w:szCs w:val="16"/>
          <w:vertAlign w:val="superscript"/>
        </w:rPr>
        <w:t>4 </w:t>
      </w:r>
    </w:p>
    <w:p w14:paraId="030A9BF0" w14:textId="77777777" w:rsidR="00905824" w:rsidRDefault="00905824" w:rsidP="00905824">
      <w:pPr>
        <w:pStyle w:val="NormalWeb"/>
        <w:spacing w:before="312" w:beforeAutospacing="0" w:after="0" w:afterAutospacing="0"/>
        <w:ind w:left="360" w:right="384" w:firstLine="360"/>
      </w:pPr>
      <w:r>
        <w:rPr>
          <w:rFonts w:ascii="Arial" w:hAnsi="Arial" w:cs="Arial"/>
          <w:color w:val="000000"/>
        </w:rPr>
        <w:t>CVS Health sees itself as a pharmacy innovative company assisting people continue their path to healthy lives. It has a wide variety of models and structures that assist in this pursuit changing the landscape of how health care is operated delivering higher clinical outcomes, efficiency, and all at a lower cost. </w:t>
      </w:r>
    </w:p>
    <w:p w14:paraId="490D0068" w14:textId="77777777" w:rsidR="00905824" w:rsidRDefault="00905824" w:rsidP="00905824">
      <w:pPr>
        <w:pStyle w:val="NormalWeb"/>
        <w:spacing w:before="307" w:beforeAutospacing="0" w:after="0" w:afterAutospacing="0"/>
        <w:ind w:left="360" w:right="514" w:firstLine="360"/>
      </w:pPr>
      <w:r>
        <w:rPr>
          <w:rFonts w:ascii="Arial" w:hAnsi="Arial" w:cs="Arial"/>
          <w:color w:val="000000"/>
        </w:rPr>
        <w:t xml:space="preserve">Through almost 10,000 retail store locations, approximately 1,100 walk-in health care clinics, a </w:t>
      </w:r>
      <w:proofErr w:type="gramStart"/>
      <w:r>
        <w:rPr>
          <w:rFonts w:ascii="Arial" w:hAnsi="Arial" w:cs="Arial"/>
          <w:color w:val="000000"/>
        </w:rPr>
        <w:t>94 million member</w:t>
      </w:r>
      <w:proofErr w:type="gramEnd"/>
      <w:r>
        <w:rPr>
          <w:rFonts w:ascii="Arial" w:hAnsi="Arial" w:cs="Arial"/>
          <w:color w:val="000000"/>
        </w:rPr>
        <w:t xml:space="preserve"> pharmacy benefits manager, and the leading stand-alone Medicare Part D prescription plan, the company enables patients and businesses to make health care less expensive and more efficient. The company provides patients medical advice on their medications through CVS Pharmacy and reduces costs for patients that participate through the online prescription drug programs offered through CVS Caremark as well as improving care for patients with complex health conditions through CVS Specialty and the senior community under Omnicare. </w:t>
      </w:r>
    </w:p>
    <w:p w14:paraId="12D574CC" w14:textId="77777777" w:rsidR="00905824" w:rsidRDefault="00905824" w:rsidP="00905824">
      <w:pPr>
        <w:pStyle w:val="NormalWeb"/>
        <w:spacing w:before="307" w:beforeAutospacing="0" w:after="0" w:afterAutospacing="0"/>
        <w:ind w:left="360" w:right="7066"/>
      </w:pPr>
      <w:r>
        <w:rPr>
          <w:rFonts w:ascii="Arial" w:hAnsi="Arial" w:cs="Arial"/>
          <w:b/>
          <w:bCs/>
          <w:color w:val="000000"/>
        </w:rPr>
        <w:t>CVS Pharmacy </w:t>
      </w:r>
    </w:p>
    <w:p w14:paraId="21EE6684" w14:textId="77777777" w:rsidR="00905824" w:rsidRDefault="00905824" w:rsidP="00905824">
      <w:pPr>
        <w:pStyle w:val="NormalWeb"/>
        <w:spacing w:before="317" w:beforeAutospacing="0" w:after="0" w:afterAutospacing="0"/>
        <w:ind w:left="360" w:right="523" w:firstLine="360"/>
      </w:pPr>
      <w:r>
        <w:rPr>
          <w:rFonts w:ascii="Arial" w:hAnsi="Arial" w:cs="Arial"/>
          <w:color w:val="000000"/>
        </w:rPr>
        <w:lastRenderedPageBreak/>
        <w:t xml:space="preserve">The Pharmacy Services Segment provides a wide array of services, or pharmacy benefit management (PBM) to insurance companies, employers, government groups, health plans, Medicare and Medicaid plans, plans offered on the public and private exchanges, and individual plans. Under the </w:t>
      </w:r>
      <w:proofErr w:type="spellStart"/>
      <w:r>
        <w:rPr>
          <w:rFonts w:ascii="Arial" w:hAnsi="Arial" w:cs="Arial"/>
          <w:color w:val="000000"/>
        </w:rPr>
        <w:t>SilverScrip</w:t>
      </w:r>
      <w:proofErr w:type="spellEnd"/>
      <w:r>
        <w:rPr>
          <w:rFonts w:ascii="Arial" w:hAnsi="Arial" w:cs="Arial"/>
          <w:color w:val="000000"/>
        </w:rPr>
        <w:t xml:space="preserve"> Insurance Company subsidiary, drug benefits are provided to those eligible for Medicare’s Part D program. </w:t>
      </w:r>
    </w:p>
    <w:p w14:paraId="51DF9677" w14:textId="77777777" w:rsidR="00905824" w:rsidRDefault="00905824" w:rsidP="00905824">
      <w:pPr>
        <w:pStyle w:val="NormalWeb"/>
        <w:spacing w:before="307" w:beforeAutospacing="0" w:after="0" w:afterAutospacing="0"/>
        <w:ind w:left="360" w:right="475" w:firstLine="360"/>
      </w:pPr>
      <w:r>
        <w:rPr>
          <w:rFonts w:ascii="Arial" w:hAnsi="Arial" w:cs="Arial"/>
          <w:color w:val="000000"/>
        </w:rPr>
        <w:t>Through almost 36,000 pharmacists, nurses, nurse practitioners and physician assistants, customers and patients are served through multiple touch points such as retail outlets, mail order, infusion, long-term care and specialty pharmacies, retail clinics, digital resources, and cost management tools, the company strives to provide access to health care at almost all points of service. </w:t>
      </w:r>
    </w:p>
    <w:p w14:paraId="099C3C22" w14:textId="77777777" w:rsidR="00905824" w:rsidRDefault="00905824" w:rsidP="00905824">
      <w:pPr>
        <w:pStyle w:val="NormalWeb"/>
        <w:spacing w:before="307" w:beforeAutospacing="0" w:after="0" w:afterAutospacing="0"/>
        <w:ind w:left="1080" w:right="4133"/>
      </w:pPr>
      <w:r>
        <w:rPr>
          <w:rFonts w:ascii="Arial" w:hAnsi="Arial" w:cs="Arial"/>
          <w:color w:val="000000"/>
        </w:rPr>
        <w:t>Other services within the PBM include: </w:t>
      </w:r>
    </w:p>
    <w:p w14:paraId="49BBA337" w14:textId="77777777" w:rsidR="00905824" w:rsidRDefault="00905824" w:rsidP="00905824">
      <w:pPr>
        <w:pStyle w:val="NormalWeb"/>
        <w:spacing w:before="317" w:beforeAutospacing="0" w:after="0" w:afterAutospacing="0"/>
        <w:ind w:left="360" w:right="638" w:firstLine="360"/>
      </w:pPr>
      <w:r>
        <w:rPr>
          <w:rFonts w:ascii="Arial" w:hAnsi="Arial" w:cs="Arial"/>
          <w:i/>
          <w:iCs/>
          <w:color w:val="000000"/>
        </w:rPr>
        <w:t xml:space="preserve">Plan Design Offerings and Administration </w:t>
      </w:r>
      <w:r>
        <w:rPr>
          <w:rFonts w:ascii="Arial" w:hAnsi="Arial" w:cs="Arial"/>
          <w:color w:val="000000"/>
        </w:rPr>
        <w:t>– CVS administers pharmacy benefit plans for clients who contract the company to provide prescription coverage and claims processing for their eligible plan members. </w:t>
      </w:r>
    </w:p>
    <w:p w14:paraId="3E715E08" w14:textId="77777777" w:rsidR="00905824" w:rsidRDefault="00905824" w:rsidP="00905824">
      <w:pPr>
        <w:pStyle w:val="NormalWeb"/>
        <w:spacing w:before="312" w:beforeAutospacing="0" w:after="0" w:afterAutospacing="0"/>
        <w:ind w:left="360" w:right="374" w:firstLine="360"/>
      </w:pPr>
      <w:r>
        <w:rPr>
          <w:rFonts w:ascii="Arial" w:hAnsi="Arial" w:cs="Arial"/>
          <w:i/>
          <w:iCs/>
          <w:color w:val="000000"/>
        </w:rPr>
        <w:t xml:space="preserve">Formulary Management </w:t>
      </w:r>
      <w:r>
        <w:rPr>
          <w:rFonts w:ascii="Arial" w:hAnsi="Arial" w:cs="Arial"/>
          <w:color w:val="000000"/>
        </w:rPr>
        <w:t>– The company utilizes an independent panel of doctors, pharmacists and other medical experts to sit on the CVS Caremark National Pharmacy and Therapeutics Committee to review and approve the selection of drugs to ensure their safety and efficacy to be offered at their pharmacies and mail order businesses. Recommended drugs, via classification, along with options or alternatives provide the best information on cost and clinical benefits to the patient. </w:t>
      </w:r>
    </w:p>
    <w:p w14:paraId="1E3125B6" w14:textId="77777777" w:rsidR="00905824" w:rsidRDefault="00905824" w:rsidP="00905824">
      <w:pPr>
        <w:pStyle w:val="NormalWeb"/>
        <w:spacing w:before="1392" w:beforeAutospacing="0" w:after="0" w:afterAutospacing="0"/>
        <w:ind w:left="360" w:right="931"/>
      </w:pPr>
      <w:r>
        <w:rPr>
          <w:rFonts w:ascii="Arial" w:hAnsi="Arial" w:cs="Arial"/>
          <w:color w:val="000000"/>
          <w:sz w:val="13"/>
          <w:szCs w:val="13"/>
        </w:rPr>
        <w:t xml:space="preserve">4 </w:t>
      </w:r>
      <w:r>
        <w:rPr>
          <w:rFonts w:ascii="Arial" w:hAnsi="Arial" w:cs="Arial"/>
          <w:color w:val="000000"/>
          <w:sz w:val="20"/>
          <w:szCs w:val="20"/>
          <w:vertAlign w:val="subscript"/>
        </w:rPr>
        <w:t xml:space="preserve">All information about CVS Health Corporation was taken from the </w:t>
      </w:r>
      <w:proofErr w:type="gramStart"/>
      <w:r>
        <w:rPr>
          <w:rFonts w:ascii="Arial" w:hAnsi="Arial" w:cs="Arial"/>
          <w:color w:val="000000"/>
          <w:sz w:val="20"/>
          <w:szCs w:val="20"/>
          <w:vertAlign w:val="subscript"/>
        </w:rPr>
        <w:t>December,</w:t>
      </w:r>
      <w:proofErr w:type="gramEnd"/>
      <w:r>
        <w:rPr>
          <w:rFonts w:ascii="Arial" w:hAnsi="Arial" w:cs="Arial"/>
          <w:color w:val="000000"/>
          <w:sz w:val="20"/>
          <w:szCs w:val="20"/>
          <w:vertAlign w:val="subscript"/>
        </w:rPr>
        <w:t xml:space="preserve"> 31 2017 Annual </w:t>
      </w:r>
      <w:r>
        <w:rPr>
          <w:rFonts w:ascii="Arial" w:hAnsi="Arial" w:cs="Arial"/>
          <w:color w:val="000000"/>
          <w:sz w:val="20"/>
          <w:szCs w:val="20"/>
        </w:rPr>
        <w:t>Report Form 10K </w:t>
      </w:r>
    </w:p>
    <w:p w14:paraId="5E80718F" w14:textId="77777777" w:rsidR="00905824" w:rsidRDefault="00905824" w:rsidP="00905824">
      <w:pPr>
        <w:pStyle w:val="NormalWeb"/>
        <w:spacing w:before="475" w:beforeAutospacing="0" w:after="0" w:afterAutospacing="0"/>
        <w:ind w:left="4454" w:right="4445"/>
      </w:pPr>
      <w:r>
        <w:rPr>
          <w:rFonts w:ascii="Arial" w:hAnsi="Arial" w:cs="Arial"/>
          <w:color w:val="000000"/>
        </w:rPr>
        <w:t>3 </w:t>
      </w:r>
    </w:p>
    <w:p w14:paraId="00916EDE" w14:textId="77777777" w:rsidR="00905824" w:rsidRDefault="00905824" w:rsidP="00905824">
      <w:pPr>
        <w:pStyle w:val="NormalWeb"/>
        <w:spacing w:before="0" w:beforeAutospacing="0" w:after="0" w:afterAutospacing="0"/>
        <w:ind w:left="360" w:right="370" w:firstLine="360"/>
      </w:pPr>
      <w:r>
        <w:rPr>
          <w:rFonts w:ascii="Arial" w:hAnsi="Arial" w:cs="Arial"/>
          <w:i/>
          <w:iCs/>
          <w:color w:val="000000"/>
        </w:rPr>
        <w:t xml:space="preserve">Medicare Part D Services </w:t>
      </w:r>
      <w:r>
        <w:rPr>
          <w:rFonts w:ascii="Arial" w:hAnsi="Arial" w:cs="Arial"/>
          <w:color w:val="000000"/>
        </w:rPr>
        <w:t>– The company is a participant in the administration of the drug benefit added to the Medicare program, Part D. The company assists employers, unions or other health plans that qualify for the retiree drug subsidiary. </w:t>
      </w:r>
    </w:p>
    <w:p w14:paraId="6656EE0C" w14:textId="77777777" w:rsidR="00905824" w:rsidRDefault="00905824" w:rsidP="00905824">
      <w:pPr>
        <w:pStyle w:val="NormalWeb"/>
        <w:spacing w:before="312" w:beforeAutospacing="0" w:after="0" w:afterAutospacing="0"/>
        <w:ind w:left="360" w:right="403" w:firstLine="360"/>
      </w:pPr>
      <w:r>
        <w:rPr>
          <w:rFonts w:ascii="Arial" w:hAnsi="Arial" w:cs="Arial"/>
          <w:i/>
          <w:iCs/>
          <w:color w:val="000000"/>
        </w:rPr>
        <w:t xml:space="preserve">Mail Order Pharmacy </w:t>
      </w:r>
      <w:r>
        <w:rPr>
          <w:rFonts w:ascii="Arial" w:hAnsi="Arial" w:cs="Arial"/>
          <w:color w:val="000000"/>
        </w:rPr>
        <w:t>– As of the end of 2017, CVS Health operated four mail order distribution center pharmacies in the United States. Drug requests via mail or internet, usually for consistent filling, are reviewed by a pharmacist before being sent. </w:t>
      </w:r>
    </w:p>
    <w:p w14:paraId="2FF7336E" w14:textId="77777777" w:rsidR="00905824" w:rsidRDefault="00905824" w:rsidP="00905824">
      <w:pPr>
        <w:pStyle w:val="NormalWeb"/>
        <w:spacing w:before="317" w:beforeAutospacing="0" w:after="0" w:afterAutospacing="0"/>
        <w:ind w:left="360" w:right="566" w:firstLine="360"/>
      </w:pPr>
      <w:r>
        <w:rPr>
          <w:rFonts w:ascii="Arial" w:hAnsi="Arial" w:cs="Arial"/>
          <w:i/>
          <w:iCs/>
          <w:color w:val="000000"/>
        </w:rPr>
        <w:lastRenderedPageBreak/>
        <w:t xml:space="preserve">Specialty Pharmacy </w:t>
      </w:r>
      <w:r>
        <w:rPr>
          <w:rFonts w:ascii="Arial" w:hAnsi="Arial" w:cs="Arial"/>
          <w:color w:val="000000"/>
        </w:rPr>
        <w:t>– Through 18 specialty mail order centers, the company supports patients with more complex and expensive drug regimes. In addition, CVS operates 23 retail specialty stores that serves the same group of patients suffering from chronic or genetic disorders. </w:t>
      </w:r>
    </w:p>
    <w:p w14:paraId="397CC593" w14:textId="77777777" w:rsidR="00905824" w:rsidRDefault="00905824" w:rsidP="00905824">
      <w:pPr>
        <w:pStyle w:val="NormalWeb"/>
        <w:spacing w:before="312" w:beforeAutospacing="0" w:after="0" w:afterAutospacing="0"/>
        <w:ind w:left="360" w:right="586" w:firstLine="360"/>
      </w:pPr>
      <w:r>
        <w:rPr>
          <w:rFonts w:ascii="Arial" w:hAnsi="Arial" w:cs="Arial"/>
          <w:i/>
          <w:iCs/>
          <w:color w:val="000000"/>
        </w:rPr>
        <w:t xml:space="preserve">Retail Pharmacy Network Management </w:t>
      </w:r>
      <w:r>
        <w:rPr>
          <w:rFonts w:ascii="Arial" w:hAnsi="Arial" w:cs="Arial"/>
          <w:color w:val="000000"/>
        </w:rPr>
        <w:t>– CVS maintains a national network of more than 68,000 including 41,000 pharmacy chains and 27,000 independent pharmacies. This allows patients to fill a prescription at multiple locations. </w:t>
      </w:r>
    </w:p>
    <w:p w14:paraId="02B45E3D" w14:textId="77777777" w:rsidR="00905824" w:rsidRDefault="00905824" w:rsidP="00905824">
      <w:pPr>
        <w:pStyle w:val="NormalWeb"/>
        <w:spacing w:before="317" w:beforeAutospacing="0" w:after="0" w:afterAutospacing="0"/>
        <w:ind w:left="360" w:right="451" w:firstLine="360"/>
      </w:pPr>
      <w:r>
        <w:rPr>
          <w:rFonts w:ascii="Arial" w:hAnsi="Arial" w:cs="Arial"/>
          <w:i/>
          <w:iCs/>
          <w:color w:val="000000"/>
        </w:rPr>
        <w:t xml:space="preserve">Prescription Management Systems </w:t>
      </w:r>
      <w:r>
        <w:rPr>
          <w:rFonts w:ascii="Arial" w:hAnsi="Arial" w:cs="Arial"/>
          <w:color w:val="000000"/>
        </w:rPr>
        <w:t>– All prescription drugs processed through this system allows the company to manage early refills, duplicate dispensing, appropriateness of dosage, drug interactions or allergies, over-utilization, or potential fraud. </w:t>
      </w:r>
    </w:p>
    <w:p w14:paraId="5C9008B9" w14:textId="77777777" w:rsidR="00905824" w:rsidRDefault="00905824" w:rsidP="00905824">
      <w:pPr>
        <w:pStyle w:val="NormalWeb"/>
        <w:spacing w:before="307" w:beforeAutospacing="0" w:after="0" w:afterAutospacing="0"/>
        <w:ind w:left="360" w:right="408" w:firstLine="360"/>
      </w:pPr>
      <w:r>
        <w:rPr>
          <w:rFonts w:ascii="Arial" w:hAnsi="Arial" w:cs="Arial"/>
          <w:i/>
          <w:iCs/>
          <w:color w:val="000000"/>
        </w:rPr>
        <w:t xml:space="preserve">Clinical Services </w:t>
      </w:r>
      <w:r>
        <w:rPr>
          <w:rFonts w:ascii="Arial" w:hAnsi="Arial" w:cs="Arial"/>
          <w:color w:val="000000"/>
        </w:rPr>
        <w:t>– CVS offers multiple clinical programs to clients to manage overall drug and health care costs while promoting quality outcomes. </w:t>
      </w:r>
    </w:p>
    <w:p w14:paraId="1CAB94C0" w14:textId="77777777" w:rsidR="00905824" w:rsidRDefault="00905824" w:rsidP="00905824">
      <w:pPr>
        <w:pStyle w:val="NormalWeb"/>
        <w:spacing w:before="307" w:beforeAutospacing="0" w:after="0" w:afterAutospacing="0"/>
        <w:ind w:left="360" w:right="883" w:firstLine="360"/>
      </w:pPr>
      <w:r>
        <w:rPr>
          <w:rFonts w:ascii="Arial" w:hAnsi="Arial" w:cs="Arial"/>
          <w:i/>
          <w:iCs/>
          <w:color w:val="000000"/>
        </w:rPr>
        <w:t xml:space="preserve">Disease Management Programs </w:t>
      </w:r>
      <w:r>
        <w:rPr>
          <w:rFonts w:ascii="Arial" w:hAnsi="Arial" w:cs="Arial"/>
          <w:color w:val="000000"/>
        </w:rPr>
        <w:t>– This service is designed to assist in the management of rare complex conditions such as multiple sclerosis, seizures, and rheumatoid arthritis. </w:t>
      </w:r>
    </w:p>
    <w:p w14:paraId="7D7657AC" w14:textId="77777777" w:rsidR="00905824" w:rsidRDefault="00905824" w:rsidP="00905824">
      <w:pPr>
        <w:pStyle w:val="NormalWeb"/>
        <w:spacing w:before="317" w:beforeAutospacing="0" w:after="0" w:afterAutospacing="0"/>
        <w:ind w:left="360" w:right="624" w:firstLine="360"/>
      </w:pPr>
      <w:r>
        <w:rPr>
          <w:rFonts w:ascii="Arial" w:hAnsi="Arial" w:cs="Arial"/>
          <w:i/>
          <w:iCs/>
          <w:color w:val="000000"/>
        </w:rPr>
        <w:t xml:space="preserve">Medical Benefit Management </w:t>
      </w:r>
      <w:r>
        <w:rPr>
          <w:rFonts w:ascii="Arial" w:hAnsi="Arial" w:cs="Arial"/>
          <w:color w:val="000000"/>
        </w:rPr>
        <w:t xml:space="preserve">– This is technology platform, </w:t>
      </w:r>
      <w:proofErr w:type="spellStart"/>
      <w:r>
        <w:rPr>
          <w:rFonts w:ascii="Arial" w:hAnsi="Arial" w:cs="Arial"/>
          <w:color w:val="000000"/>
        </w:rPr>
        <w:t>NovoLogix</w:t>
      </w:r>
      <w:proofErr w:type="spellEnd"/>
      <w:r>
        <w:rPr>
          <w:rFonts w:ascii="Arial" w:hAnsi="Arial" w:cs="Arial"/>
          <w:color w:val="000000"/>
        </w:rPr>
        <w:t xml:space="preserve">, an online preauthorization software package, is designed to capture cost savings for specialty drugs checking dosages and costs, as well as </w:t>
      </w:r>
      <w:proofErr w:type="gramStart"/>
      <w:r>
        <w:rPr>
          <w:rFonts w:ascii="Arial" w:hAnsi="Arial" w:cs="Arial"/>
          <w:color w:val="000000"/>
        </w:rPr>
        <w:t>whether or not</w:t>
      </w:r>
      <w:proofErr w:type="gramEnd"/>
      <w:r>
        <w:rPr>
          <w:rFonts w:ascii="Arial" w:hAnsi="Arial" w:cs="Arial"/>
          <w:color w:val="000000"/>
        </w:rPr>
        <w:t xml:space="preserve"> it is clinically appropriate. </w:t>
      </w:r>
    </w:p>
    <w:p w14:paraId="400E5E17" w14:textId="77777777" w:rsidR="00905824" w:rsidRDefault="00905824" w:rsidP="00905824">
      <w:pPr>
        <w:pStyle w:val="NormalWeb"/>
        <w:spacing w:before="869" w:beforeAutospacing="0" w:after="0" w:afterAutospacing="0"/>
        <w:ind w:left="360" w:right="7498"/>
      </w:pPr>
      <w:r>
        <w:rPr>
          <w:rFonts w:ascii="Arial" w:hAnsi="Arial" w:cs="Arial"/>
          <w:b/>
          <w:bCs/>
          <w:color w:val="000000"/>
        </w:rPr>
        <w:t>Retail LTC </w:t>
      </w:r>
    </w:p>
    <w:p w14:paraId="023C74E5" w14:textId="77777777" w:rsidR="00905824" w:rsidRDefault="00905824" w:rsidP="00905824">
      <w:pPr>
        <w:pStyle w:val="NormalWeb"/>
        <w:spacing w:before="312" w:beforeAutospacing="0" w:after="0" w:afterAutospacing="0"/>
        <w:ind w:left="360" w:right="384" w:firstLine="360"/>
      </w:pPr>
      <w:r>
        <w:rPr>
          <w:rFonts w:ascii="Arial" w:hAnsi="Arial" w:cs="Arial"/>
          <w:color w:val="000000"/>
        </w:rPr>
        <w:t>At the end of 2017, CVS Health operated 9,803 retail locations with 1,695 were pharmacies operated within Target Corporation stores. The company also owned online retail pharmacy websites, CVS.com, Navarro.com, and Onofre.com.br, 37 onsite pharmacy stores, as well as long-term care pharmacy operations and retail health clinics. The retail locations are in 49 states, the District of Columbia, Puerto Rico, and Brazil. Store size varies between 5,000 to 30,000 square feet although most new stores are approximately 11,000 to 15,000 square feet. </w:t>
      </w:r>
    </w:p>
    <w:p w14:paraId="645D352E" w14:textId="77777777" w:rsidR="00905824" w:rsidRDefault="00905824" w:rsidP="00905824">
      <w:pPr>
        <w:pStyle w:val="NormalWeb"/>
        <w:spacing w:before="586" w:beforeAutospacing="0" w:after="0" w:afterAutospacing="0"/>
        <w:ind w:left="360" w:right="7594"/>
      </w:pPr>
      <w:r>
        <w:rPr>
          <w:rFonts w:ascii="Arial" w:hAnsi="Arial" w:cs="Arial"/>
          <w:b/>
          <w:bCs/>
          <w:color w:val="000000"/>
        </w:rPr>
        <w:t>Corporate </w:t>
      </w:r>
    </w:p>
    <w:p w14:paraId="66CE0432" w14:textId="77777777" w:rsidR="00905824" w:rsidRDefault="00905824" w:rsidP="00905824">
      <w:pPr>
        <w:pStyle w:val="NormalWeb"/>
        <w:spacing w:before="922" w:beforeAutospacing="0" w:after="0" w:afterAutospacing="0"/>
        <w:ind w:left="4454" w:right="4445"/>
      </w:pPr>
      <w:r>
        <w:rPr>
          <w:rFonts w:ascii="Arial" w:hAnsi="Arial" w:cs="Arial"/>
          <w:color w:val="000000"/>
        </w:rPr>
        <w:lastRenderedPageBreak/>
        <w:t>4 </w:t>
      </w:r>
    </w:p>
    <w:p w14:paraId="0883E4E2" w14:textId="77777777" w:rsidR="00905824" w:rsidRDefault="00905824" w:rsidP="00905824">
      <w:pPr>
        <w:pStyle w:val="NormalWeb"/>
        <w:spacing w:before="0" w:beforeAutospacing="0" w:after="0" w:afterAutospacing="0"/>
        <w:ind w:left="360" w:right="552" w:firstLine="360"/>
      </w:pPr>
      <w:r>
        <w:rPr>
          <w:rFonts w:ascii="Arial" w:hAnsi="Arial" w:cs="Arial"/>
          <w:color w:val="000000"/>
        </w:rPr>
        <w:t>The Corporate area provides management and administrative support to each of the segments of the company including executive management, finance, legal, human resources, information technology, and procurement. </w:t>
      </w:r>
    </w:p>
    <w:p w14:paraId="46F06919" w14:textId="77777777" w:rsidR="00905824" w:rsidRDefault="00905824" w:rsidP="00905824">
      <w:pPr>
        <w:pStyle w:val="NormalWeb"/>
        <w:spacing w:before="590" w:beforeAutospacing="0" w:after="0" w:afterAutospacing="0"/>
        <w:ind w:left="360" w:right="7253"/>
      </w:pPr>
      <w:r>
        <w:rPr>
          <w:rFonts w:ascii="Arial" w:hAnsi="Arial" w:cs="Arial"/>
          <w:b/>
          <w:bCs/>
          <w:color w:val="000000"/>
        </w:rPr>
        <w:t>Funding CVS </w:t>
      </w:r>
    </w:p>
    <w:p w14:paraId="0FFCCA5D" w14:textId="77777777" w:rsidR="00905824" w:rsidRDefault="00905824" w:rsidP="00905824">
      <w:pPr>
        <w:pStyle w:val="NormalWeb"/>
        <w:spacing w:before="307" w:beforeAutospacing="0" w:after="0" w:afterAutospacing="0"/>
        <w:ind w:left="360" w:right="475" w:firstLine="360"/>
      </w:pPr>
      <w:r>
        <w:rPr>
          <w:rFonts w:ascii="Arial" w:hAnsi="Arial" w:cs="Arial"/>
          <w:color w:val="000000"/>
        </w:rPr>
        <w:t xml:space="preserve">Working capital to fund the growth of the business is generated using cash flow from operations, commercial paper, lines of credit, and long-term borrowing for more </w:t>
      </w:r>
      <w:proofErr w:type="gramStart"/>
      <w:r>
        <w:rPr>
          <w:rFonts w:ascii="Arial" w:hAnsi="Arial" w:cs="Arial"/>
          <w:color w:val="000000"/>
        </w:rPr>
        <w:t>capital intensive</w:t>
      </w:r>
      <w:proofErr w:type="gramEnd"/>
      <w:r>
        <w:rPr>
          <w:rFonts w:ascii="Arial" w:hAnsi="Arial" w:cs="Arial"/>
          <w:color w:val="000000"/>
        </w:rPr>
        <w:t xml:space="preserve"> projects. </w:t>
      </w:r>
    </w:p>
    <w:p w14:paraId="6FEC02EF" w14:textId="77777777" w:rsidR="00905824" w:rsidRDefault="00905824" w:rsidP="00905824">
      <w:pPr>
        <w:pStyle w:val="NormalWeb"/>
        <w:spacing w:before="586" w:beforeAutospacing="0" w:after="0" w:afterAutospacing="0"/>
        <w:ind w:left="360" w:right="7536"/>
      </w:pPr>
      <w:r>
        <w:rPr>
          <w:rFonts w:ascii="Arial" w:hAnsi="Arial" w:cs="Arial"/>
          <w:b/>
          <w:bCs/>
          <w:color w:val="000000"/>
        </w:rPr>
        <w:t>Aetna, Inc. </w:t>
      </w:r>
    </w:p>
    <w:p w14:paraId="4C399105" w14:textId="77777777" w:rsidR="00905824" w:rsidRDefault="00905824" w:rsidP="00905824">
      <w:pPr>
        <w:pStyle w:val="NormalWeb"/>
        <w:spacing w:before="312" w:beforeAutospacing="0" w:after="0" w:afterAutospacing="0"/>
        <w:ind w:left="360" w:right="374" w:firstLine="360"/>
      </w:pPr>
      <w:r>
        <w:rPr>
          <w:rFonts w:ascii="Arial" w:hAnsi="Arial" w:cs="Arial"/>
          <w:color w:val="000000"/>
        </w:rPr>
        <w:t>Aetna is one of the largest diversified health care benefits companies with approximately 46.7 million subscribers. The company offers a wide range of health care insurance products including medial, pharmacy, dental, behavioral health, group life and disability plans, medical management, Medicaid health care management, Medicare Advantage and Medicare Supplement plans, workers’ compensation administrative services, and health information technology products and services. Customers of Aetna include employer groups, individuals, college students, part-time and hourly workers, health care providers, governmental units, government-sponsored plans, labor groups, and expatriates. </w:t>
      </w:r>
    </w:p>
    <w:p w14:paraId="577D52F1" w14:textId="77777777" w:rsidR="00905824" w:rsidRDefault="00905824" w:rsidP="00905824">
      <w:pPr>
        <w:pStyle w:val="NormalWeb"/>
        <w:spacing w:before="590" w:beforeAutospacing="0" w:after="0" w:afterAutospacing="0"/>
        <w:ind w:left="360" w:right="4872"/>
      </w:pPr>
      <w:r>
        <w:rPr>
          <w:rFonts w:ascii="Arial" w:hAnsi="Arial" w:cs="Arial"/>
          <w:b/>
          <w:bCs/>
          <w:color w:val="000000"/>
        </w:rPr>
        <w:t>Aetna’s Failed Merger with Humana </w:t>
      </w:r>
    </w:p>
    <w:p w14:paraId="7DE3D77D" w14:textId="77777777" w:rsidR="00905824" w:rsidRDefault="00905824" w:rsidP="00905824">
      <w:pPr>
        <w:pStyle w:val="NormalWeb"/>
        <w:spacing w:before="307" w:beforeAutospacing="0" w:after="0" w:afterAutospacing="0"/>
        <w:ind w:left="360" w:right="504" w:firstLine="360"/>
      </w:pPr>
      <w:r>
        <w:rPr>
          <w:rFonts w:ascii="Arial" w:hAnsi="Arial" w:cs="Arial"/>
          <w:color w:val="000000"/>
        </w:rPr>
        <w:t>Aetna has had some recent setbacks with the termination of the acquisition of Humana Inc. In 2015, Aetna entered into a definitive agreement to acquire Humana in a transaction valued at approximately $37 billion based on Aetna’s stock closing price on July 2, 2015. In the deal, Aetna would retain all of Humana’s cash, other current assets, and assume all of Humana’s debt. </w:t>
      </w:r>
    </w:p>
    <w:p w14:paraId="28CEE4DA" w14:textId="77777777" w:rsidR="00905824" w:rsidRDefault="00905824" w:rsidP="00905824">
      <w:pPr>
        <w:pStyle w:val="NormalWeb"/>
        <w:spacing w:before="307" w:beforeAutospacing="0" w:after="0" w:afterAutospacing="0"/>
        <w:ind w:left="360" w:right="384" w:firstLine="360"/>
      </w:pPr>
      <w:r>
        <w:rPr>
          <w:rFonts w:ascii="Arial" w:hAnsi="Arial" w:cs="Arial"/>
          <w:color w:val="000000"/>
        </w:rPr>
        <w:t xml:space="preserve">Before the acquisition could be completed, the United States Department of Justice and a few state attorney generals filed a civil complaint in the U.S. District Court for the District of Columbia against Aetna and Humana charging that the transaction would violate Section 7 of the Clayton Antitrust Act. The government sought an injunction to prevent the deal from moving forward. By February 2017, the transaction was virtually </w:t>
      </w:r>
      <w:proofErr w:type="gramStart"/>
      <w:r>
        <w:rPr>
          <w:rFonts w:ascii="Arial" w:hAnsi="Arial" w:cs="Arial"/>
          <w:color w:val="000000"/>
        </w:rPr>
        <w:t>dead</w:t>
      </w:r>
      <w:proofErr w:type="gramEnd"/>
      <w:r>
        <w:rPr>
          <w:rFonts w:ascii="Arial" w:hAnsi="Arial" w:cs="Arial"/>
          <w:color w:val="000000"/>
        </w:rPr>
        <w:t xml:space="preserve"> and Aetna and Humana entered into a mutual termination agreement. Under the agreement, Aetna would compensate Humana the Regulatory Termination Fee of $1.0 billion in cash as required under the original Merger Agreement. In addition, both parties would release each other from any and all liability, claims, rights, actions, causes of actions, suits, liens, obligations, accounts, debts, demands, agreements, </w:t>
      </w:r>
      <w:r>
        <w:rPr>
          <w:rFonts w:ascii="Arial" w:hAnsi="Arial" w:cs="Arial"/>
          <w:color w:val="000000"/>
        </w:rPr>
        <w:lastRenderedPageBreak/>
        <w:t>promises, controversies, costs, charges, damages, expenses and fees, however likely or unlikely, in connection with the termination of the merger.</w:t>
      </w:r>
      <w:r>
        <w:rPr>
          <w:rFonts w:ascii="Arial" w:hAnsi="Arial" w:cs="Arial"/>
          <w:color w:val="000000"/>
          <w:sz w:val="16"/>
          <w:szCs w:val="16"/>
          <w:vertAlign w:val="superscript"/>
        </w:rPr>
        <w:t>5 </w:t>
      </w:r>
    </w:p>
    <w:p w14:paraId="242E3E36" w14:textId="77777777" w:rsidR="00905824" w:rsidRDefault="00905824" w:rsidP="00905824">
      <w:pPr>
        <w:pStyle w:val="NormalWeb"/>
        <w:spacing w:before="840" w:beforeAutospacing="0" w:after="0" w:afterAutospacing="0"/>
        <w:ind w:left="360" w:right="1037"/>
      </w:pPr>
      <w:r>
        <w:rPr>
          <w:rFonts w:ascii="Arial" w:hAnsi="Arial" w:cs="Arial"/>
          <w:color w:val="000000"/>
          <w:sz w:val="13"/>
          <w:szCs w:val="13"/>
        </w:rPr>
        <w:t xml:space="preserve">5 </w:t>
      </w:r>
      <w:r>
        <w:rPr>
          <w:rFonts w:ascii="Arial" w:hAnsi="Arial" w:cs="Arial"/>
          <w:color w:val="000000"/>
          <w:sz w:val="20"/>
          <w:szCs w:val="20"/>
          <w:vertAlign w:val="subscript"/>
        </w:rPr>
        <w:t xml:space="preserve">Aetna, Inc. United States Securities and Exchange Commission. Form 10-K Annual Report. </w:t>
      </w:r>
      <w:r>
        <w:rPr>
          <w:rFonts w:ascii="Arial" w:hAnsi="Arial" w:cs="Arial"/>
          <w:color w:val="000000"/>
          <w:sz w:val="20"/>
          <w:szCs w:val="20"/>
        </w:rPr>
        <w:t>December 31, 2016, p. 4 </w:t>
      </w:r>
    </w:p>
    <w:p w14:paraId="1D156E3E" w14:textId="77777777" w:rsidR="00905824" w:rsidRDefault="00905824" w:rsidP="00905824">
      <w:pPr>
        <w:pStyle w:val="NormalWeb"/>
        <w:spacing w:before="475" w:beforeAutospacing="0" w:after="0" w:afterAutospacing="0"/>
        <w:ind w:left="4454" w:right="4445"/>
      </w:pPr>
      <w:r>
        <w:rPr>
          <w:rFonts w:ascii="Arial" w:hAnsi="Arial" w:cs="Arial"/>
          <w:color w:val="000000"/>
        </w:rPr>
        <w:t>5 </w:t>
      </w:r>
    </w:p>
    <w:p w14:paraId="5A330515" w14:textId="77777777" w:rsidR="00905824" w:rsidRDefault="00905824" w:rsidP="00905824">
      <w:pPr>
        <w:pStyle w:val="NormalWeb"/>
        <w:spacing w:before="0" w:beforeAutospacing="0" w:after="0" w:afterAutospacing="0"/>
        <w:ind w:left="360" w:right="422" w:firstLine="360"/>
      </w:pPr>
      <w:r>
        <w:rPr>
          <w:rFonts w:ascii="Arial" w:hAnsi="Arial" w:cs="Arial"/>
          <w:color w:val="000000"/>
        </w:rPr>
        <w:t>The fee paid to Humana was funded through an issue of senior notes that were part of the overall acquisition. In June 2016, Aetna floated $13 billion in senior notes of which most would fund the acquisition. With the acquisition terminated, the amount of cash and debt was no longer required. In accordance with the terms of the issued notes, Aetna called $10.2 billion in principal with a redemption price of 101% (principal and interest). The cost of this payment in principal and interest was approximately $100 million and was absorbed in the first quarter of 2017. </w:t>
      </w:r>
    </w:p>
    <w:p w14:paraId="7256D82F" w14:textId="77777777" w:rsidR="00905824" w:rsidRDefault="00905824" w:rsidP="00905824">
      <w:pPr>
        <w:pStyle w:val="NormalWeb"/>
        <w:spacing w:before="317" w:beforeAutospacing="0" w:after="0" w:afterAutospacing="0"/>
        <w:ind w:left="360" w:right="360" w:firstLine="360"/>
      </w:pPr>
      <w:r>
        <w:rPr>
          <w:rFonts w:ascii="Arial" w:hAnsi="Arial" w:cs="Arial"/>
          <w:color w:val="000000"/>
        </w:rPr>
        <w:t>During the acquisition and arising from the Department of Justice’s concerns regarding Aetna’s Medicare Advantage as a result of the Humana combination, Aetna entered into a definitive agreement to sell for cash to Molina Healthcare, Inc. a portion of the company’s Medicare Advantage assets. The thought was a reduction in this area of the company’s business would allow the merger to be completed. With the acquisition terminated, there was no need to divest these assets. In February 2017, Aetna entered into a termination agreement with Molina and paid the company $53 million or approximately 70% of Molina’s acquisition expenses. The cash to pay Molina was also funded through the proceeds from the 2016 senior notes. As with the termination expense from the abandoned deal with Humana, this expense was absorbed in the first quarter of 2017. </w:t>
      </w:r>
    </w:p>
    <w:p w14:paraId="08B06FF3" w14:textId="77777777" w:rsidR="00905824" w:rsidRDefault="00905824" w:rsidP="00905824">
      <w:pPr>
        <w:pStyle w:val="NormalWeb"/>
        <w:spacing w:before="586" w:beforeAutospacing="0" w:after="0" w:afterAutospacing="0"/>
        <w:ind w:left="360" w:right="6557"/>
      </w:pPr>
      <w:r>
        <w:rPr>
          <w:rFonts w:ascii="Arial" w:hAnsi="Arial" w:cs="Arial"/>
          <w:b/>
          <w:bCs/>
          <w:color w:val="000000"/>
        </w:rPr>
        <w:t>Health Care Reform </w:t>
      </w:r>
    </w:p>
    <w:p w14:paraId="73C36DE7" w14:textId="77777777" w:rsidR="00905824" w:rsidRDefault="00905824" w:rsidP="00905824">
      <w:pPr>
        <w:pStyle w:val="NormalWeb"/>
        <w:spacing w:before="307" w:beforeAutospacing="0" w:after="0" w:afterAutospacing="0"/>
        <w:ind w:left="360" w:right="451" w:firstLine="360"/>
      </w:pPr>
      <w:r>
        <w:rPr>
          <w:rFonts w:ascii="Arial" w:hAnsi="Arial" w:cs="Arial"/>
          <w:color w:val="000000"/>
        </w:rPr>
        <w:t xml:space="preserve">For the past decade, major changes have come to the U.S. health care system. Prior to 2010, health insurance was either acquired through an individual purchase, corporate or </w:t>
      </w:r>
      <w:proofErr w:type="gramStart"/>
      <w:r>
        <w:rPr>
          <w:rFonts w:ascii="Arial" w:hAnsi="Arial" w:cs="Arial"/>
          <w:color w:val="000000"/>
        </w:rPr>
        <w:t>employer based</w:t>
      </w:r>
      <w:proofErr w:type="gramEnd"/>
      <w:r>
        <w:rPr>
          <w:rFonts w:ascii="Arial" w:hAnsi="Arial" w:cs="Arial"/>
          <w:color w:val="000000"/>
        </w:rPr>
        <w:t xml:space="preserve"> coverage, private payment for services, government coverage through either Medicare or Medicaid, or individuals went without insurance and took their chances. Individuals without insurance, if injured, would require care through an emergency room where legally providers must treat and stabilize a patient before discharge. Since these individuals rarely possessed enough funds to pay for the treatment, the cost of their emergency room visit would be shifted to those with employer sponsored insurance. </w:t>
      </w:r>
    </w:p>
    <w:p w14:paraId="2B5C32B3" w14:textId="77777777" w:rsidR="00905824" w:rsidRDefault="00905824" w:rsidP="00905824">
      <w:pPr>
        <w:pStyle w:val="NormalWeb"/>
        <w:spacing w:before="307" w:beforeAutospacing="0" w:after="0" w:afterAutospacing="0"/>
        <w:ind w:left="360" w:right="456" w:firstLine="360"/>
      </w:pPr>
      <w:r>
        <w:rPr>
          <w:rFonts w:ascii="Arial" w:hAnsi="Arial" w:cs="Arial"/>
          <w:color w:val="000000"/>
        </w:rPr>
        <w:lastRenderedPageBreak/>
        <w:t xml:space="preserve">The long result of this insurance structure led to a rapidly growing cost for commercial health care premiums. </w:t>
      </w:r>
      <w:proofErr w:type="gramStart"/>
      <w:r>
        <w:rPr>
          <w:rFonts w:ascii="Arial" w:hAnsi="Arial" w:cs="Arial"/>
          <w:color w:val="000000"/>
        </w:rPr>
        <w:t>In an attempt to</w:t>
      </w:r>
      <w:proofErr w:type="gramEnd"/>
      <w:r>
        <w:rPr>
          <w:rFonts w:ascii="Arial" w:hAnsi="Arial" w:cs="Arial"/>
          <w:color w:val="000000"/>
        </w:rPr>
        <w:t xml:space="preserve"> slow the increase in the cost of health care, the government passed The Patient Protection and Affordable Care Act and Education Reconciliation Act of 2010 (ACA). Under the provisions of the ACA, all Americans would be required to have health insurance or pay a penalty. This is a similar model to a system that was implemented in Massachusetts under Governor Romney in 2006. To help with coverage, some states such as Ohio, expanded Medicaid coverage to reduce the number of people needing to purchase their own health insurance. </w:t>
      </w:r>
    </w:p>
    <w:p w14:paraId="0B11D991" w14:textId="77777777" w:rsidR="00905824" w:rsidRDefault="00905824" w:rsidP="00905824">
      <w:pPr>
        <w:pStyle w:val="NormalWeb"/>
        <w:spacing w:before="312" w:beforeAutospacing="0" w:after="0" w:afterAutospacing="0"/>
        <w:ind w:left="360" w:right="547" w:firstLine="360"/>
      </w:pPr>
      <w:r>
        <w:rPr>
          <w:rFonts w:ascii="Arial" w:hAnsi="Arial" w:cs="Arial"/>
          <w:color w:val="000000"/>
        </w:rPr>
        <w:t>The new law was not necessarily good for insurance companies as one might assume. With the expansion of coverage, programs such as Medicare Advantage reduced what they paid insurance companies to manage their respective participants putting pressure on profitability. </w:t>
      </w:r>
    </w:p>
    <w:p w14:paraId="46D44FAA" w14:textId="77777777" w:rsidR="00905824" w:rsidRDefault="00905824" w:rsidP="00905824">
      <w:pPr>
        <w:pStyle w:val="NormalWeb"/>
        <w:spacing w:before="307" w:beforeAutospacing="0" w:after="0" w:afterAutospacing="0"/>
        <w:ind w:left="360" w:right="408" w:firstLine="360"/>
      </w:pPr>
      <w:r>
        <w:rPr>
          <w:rFonts w:ascii="Arial" w:hAnsi="Arial" w:cs="Arial"/>
          <w:color w:val="000000"/>
        </w:rPr>
        <w:t>The purchase of health insurance was a major component of the ACA with the government establishing public health insurance exchanges where people could shop </w:t>
      </w:r>
    </w:p>
    <w:p w14:paraId="5A010B3E" w14:textId="77777777" w:rsidR="00905824" w:rsidRDefault="00905824" w:rsidP="00905824">
      <w:pPr>
        <w:pStyle w:val="NormalWeb"/>
        <w:spacing w:before="638" w:beforeAutospacing="0" w:after="0" w:afterAutospacing="0"/>
        <w:ind w:left="4454" w:right="4445"/>
      </w:pPr>
      <w:r>
        <w:rPr>
          <w:rFonts w:ascii="Arial" w:hAnsi="Arial" w:cs="Arial"/>
          <w:color w:val="000000"/>
        </w:rPr>
        <w:t>6 </w:t>
      </w:r>
    </w:p>
    <w:p w14:paraId="7519253C" w14:textId="77777777" w:rsidR="00905824" w:rsidRDefault="00905824" w:rsidP="00905824">
      <w:pPr>
        <w:pStyle w:val="NormalWeb"/>
        <w:spacing w:before="0" w:beforeAutospacing="0" w:after="0" w:afterAutospacing="0"/>
        <w:ind w:left="360" w:right="715"/>
      </w:pPr>
      <w:r>
        <w:rPr>
          <w:rFonts w:ascii="Arial" w:hAnsi="Arial" w:cs="Arial"/>
          <w:color w:val="000000"/>
        </w:rPr>
        <w:t>for the insurance they felt met their needs. This system was phased in during 2014 with additional provisions of the law being implemented slowly through 2020. </w:t>
      </w:r>
    </w:p>
    <w:p w14:paraId="60B65539" w14:textId="77777777" w:rsidR="00905824" w:rsidRDefault="00905824" w:rsidP="00905824">
      <w:pPr>
        <w:pStyle w:val="NormalWeb"/>
        <w:spacing w:before="317" w:beforeAutospacing="0" w:after="0" w:afterAutospacing="0"/>
        <w:ind w:left="360" w:right="480" w:firstLine="360"/>
      </w:pPr>
      <w:r>
        <w:rPr>
          <w:rFonts w:ascii="Arial" w:hAnsi="Arial" w:cs="Arial"/>
          <w:color w:val="000000"/>
        </w:rPr>
        <w:t xml:space="preserve">While the ACA moved the United States health care system towards something similar, but not quite equal, to a country such as the United Kingdom with universal coverage with the option to use commercial insurance, it was met by strong opposition in certain areas of America. The Republican party continually attempted to repeal the act sending multiple bills to President Obama only to receive multiple </w:t>
      </w:r>
      <w:proofErr w:type="spellStart"/>
      <w:r>
        <w:rPr>
          <w:rFonts w:ascii="Arial" w:hAnsi="Arial" w:cs="Arial"/>
          <w:color w:val="000000"/>
        </w:rPr>
        <w:t>vetos</w:t>
      </w:r>
      <w:proofErr w:type="spellEnd"/>
      <w:r>
        <w:rPr>
          <w:rFonts w:ascii="Arial" w:hAnsi="Arial" w:cs="Arial"/>
          <w:color w:val="000000"/>
        </w:rPr>
        <w:t>. </w:t>
      </w:r>
    </w:p>
    <w:p w14:paraId="4DF0513C" w14:textId="77777777" w:rsidR="00905824" w:rsidRDefault="00905824" w:rsidP="00905824">
      <w:pPr>
        <w:pStyle w:val="NormalWeb"/>
        <w:spacing w:before="307" w:beforeAutospacing="0" w:after="0" w:afterAutospacing="0"/>
        <w:ind w:left="360" w:right="432" w:firstLine="360"/>
      </w:pPr>
      <w:r>
        <w:rPr>
          <w:rFonts w:ascii="Arial" w:hAnsi="Arial" w:cs="Arial"/>
          <w:color w:val="000000"/>
        </w:rPr>
        <w:t>However, in 2017, under a new administration, the tides turned and an opportunity with Republicans controlling the Executive Branch and both houses of Congress. The first real attempt to repeal the law failed with Senator McCain (R- Arizona) voting against sending the bill to the White House for approval. Months later, the Senate approved and passed the Tax Cuts and Jobs Act of 2017 that was later signed by the President. While it was mostly a bill targeting a revision in the tax code, the bill also removed the mandate under the ACA for all persons under the age of 65 to have health care coverage starting in 2019. Fewer people with health insurance, as stated by the Congressional Budget Office (CBO), could lead to savings of $300 billion further supporting the increased size in tax cuts primarily for corporations and wealthy families. The insurance impact could be 13 million losing their health care coverage by 2025 including 5 million without their Medicaid coverage. </w:t>
      </w:r>
    </w:p>
    <w:p w14:paraId="1769495C" w14:textId="77777777" w:rsidR="00905824" w:rsidRDefault="00905824" w:rsidP="00905824">
      <w:pPr>
        <w:pStyle w:val="NormalWeb"/>
        <w:spacing w:before="317" w:beforeAutospacing="0" w:after="0" w:afterAutospacing="0"/>
        <w:ind w:left="360" w:right="384" w:firstLine="360"/>
      </w:pPr>
      <w:r>
        <w:rPr>
          <w:rFonts w:ascii="Arial" w:hAnsi="Arial" w:cs="Arial"/>
          <w:color w:val="000000"/>
        </w:rPr>
        <w:lastRenderedPageBreak/>
        <w:t xml:space="preserve">Changes to the health care system seem to be far from over and may happen </w:t>
      </w:r>
      <w:proofErr w:type="gramStart"/>
      <w:r>
        <w:rPr>
          <w:rFonts w:ascii="Arial" w:hAnsi="Arial" w:cs="Arial"/>
          <w:color w:val="000000"/>
        </w:rPr>
        <w:t>in the near future</w:t>
      </w:r>
      <w:proofErr w:type="gramEnd"/>
      <w:r>
        <w:rPr>
          <w:rFonts w:ascii="Arial" w:hAnsi="Arial" w:cs="Arial"/>
          <w:color w:val="000000"/>
        </w:rPr>
        <w:t>. With a potential swing in the November 2018 elections, Democrats may take back the House of Representatives creating a difficult environment for any continued adverse change to coverage. The President’s approval ratings are also extremely low and with an election in 2020, power may shift again creating an opportunity to bring back a form of the mandate. </w:t>
      </w:r>
    </w:p>
    <w:p w14:paraId="3D300ABD" w14:textId="77777777" w:rsidR="00905824" w:rsidRDefault="00905824" w:rsidP="00905824">
      <w:pPr>
        <w:pStyle w:val="NormalWeb"/>
        <w:spacing w:before="312" w:beforeAutospacing="0" w:after="0" w:afterAutospacing="0"/>
        <w:ind w:left="360" w:right="370" w:firstLine="360"/>
      </w:pPr>
      <w:r>
        <w:rPr>
          <w:rFonts w:ascii="Arial" w:hAnsi="Arial" w:cs="Arial"/>
          <w:color w:val="000000"/>
        </w:rPr>
        <w:t>All said, the United States health care system is in a state of flux with no apparent model or proposal solidifying a direction the country should go in. From a business planning and strategy perspective, not just health care insurance companies, but medical device companies, bio technology firms, pharmaceutical companies, hospitals, outpatient clinics and support firms, lab testing services, academic research universities and institutions, state and local municipalities, and patients all have a high degree of uncertainty creating a situation whereby any type of investment in the future carries with it an increased amount of risk. </w:t>
      </w:r>
    </w:p>
    <w:p w14:paraId="7718D6F7" w14:textId="77777777" w:rsidR="00905824" w:rsidRDefault="00905824" w:rsidP="00905824">
      <w:pPr>
        <w:pStyle w:val="NormalWeb"/>
        <w:spacing w:before="317" w:beforeAutospacing="0" w:after="0" w:afterAutospacing="0"/>
        <w:ind w:left="360" w:right="701" w:firstLine="360"/>
      </w:pPr>
      <w:r>
        <w:rPr>
          <w:rFonts w:ascii="Arial" w:hAnsi="Arial" w:cs="Arial"/>
          <w:color w:val="000000"/>
        </w:rPr>
        <w:t>A company such as Aetna will weather a health care storm although it may need to change to survive and thrive in a new industry environment. Other smaller and less diverse organizations may not survive with further significant changes to health care coverage. </w:t>
      </w:r>
    </w:p>
    <w:p w14:paraId="0EFBA790" w14:textId="77777777" w:rsidR="00905824" w:rsidRDefault="00905824" w:rsidP="00905824">
      <w:pPr>
        <w:pStyle w:val="NormalWeb"/>
        <w:spacing w:before="590" w:beforeAutospacing="0" w:after="0" w:afterAutospacing="0"/>
        <w:ind w:left="360" w:right="5285"/>
      </w:pPr>
      <w:r>
        <w:rPr>
          <w:rFonts w:ascii="Arial" w:hAnsi="Arial" w:cs="Arial"/>
          <w:b/>
          <w:bCs/>
          <w:color w:val="000000"/>
        </w:rPr>
        <w:t>Competition in Health Insurance </w:t>
      </w:r>
    </w:p>
    <w:p w14:paraId="6757ED17" w14:textId="77777777" w:rsidR="00905824" w:rsidRDefault="00905824" w:rsidP="00905824">
      <w:pPr>
        <w:pStyle w:val="NormalWeb"/>
        <w:spacing w:before="307" w:beforeAutospacing="0" w:after="0" w:afterAutospacing="0"/>
        <w:ind w:left="360" w:right="384" w:firstLine="360"/>
      </w:pPr>
      <w:r>
        <w:rPr>
          <w:rFonts w:ascii="Arial" w:hAnsi="Arial" w:cs="Arial"/>
          <w:color w:val="000000"/>
        </w:rPr>
        <w:t xml:space="preserve">The health care benefits industry is extremely competitive with </w:t>
      </w:r>
      <w:proofErr w:type="gramStart"/>
      <w:r>
        <w:rPr>
          <w:rFonts w:ascii="Arial" w:hAnsi="Arial" w:cs="Arial"/>
          <w:color w:val="000000"/>
        </w:rPr>
        <w:t>a large number of</w:t>
      </w:r>
      <w:proofErr w:type="gramEnd"/>
      <w:r>
        <w:rPr>
          <w:rFonts w:ascii="Arial" w:hAnsi="Arial" w:cs="Arial"/>
          <w:color w:val="000000"/>
        </w:rPr>
        <w:t xml:space="preserve"> for-profit and not-for-profit competitors in the field. The market is mostly regional </w:t>
      </w:r>
    </w:p>
    <w:p w14:paraId="332F8AE2" w14:textId="77777777" w:rsidR="00905824" w:rsidRDefault="00905824" w:rsidP="00905824">
      <w:pPr>
        <w:pStyle w:val="NormalWeb"/>
        <w:spacing w:before="638" w:beforeAutospacing="0" w:after="0" w:afterAutospacing="0"/>
        <w:ind w:left="4454" w:right="4445"/>
      </w:pPr>
      <w:r>
        <w:rPr>
          <w:rFonts w:ascii="Arial" w:hAnsi="Arial" w:cs="Arial"/>
          <w:color w:val="000000"/>
        </w:rPr>
        <w:t>7 </w:t>
      </w:r>
    </w:p>
    <w:p w14:paraId="41EFDFC9" w14:textId="77777777" w:rsidR="00905824" w:rsidRDefault="00905824" w:rsidP="00905824">
      <w:pPr>
        <w:pStyle w:val="NormalWeb"/>
        <w:spacing w:before="0" w:beforeAutospacing="0" w:after="0" w:afterAutospacing="0"/>
        <w:ind w:left="360" w:right="624"/>
      </w:pPr>
      <w:r>
        <w:rPr>
          <w:rFonts w:ascii="Arial" w:hAnsi="Arial" w:cs="Arial"/>
          <w:color w:val="000000"/>
        </w:rPr>
        <w:t xml:space="preserve">although there are several national players that also compete on a local level. The industry is also extremely price sensitive with many individuals choosing a health care plan over another for just a few dollars difference per pay period. Others may choose to pay a little more, but only if they have access to their physician’s practice and hospital system and others will select a plan with a concern over </w:t>
      </w:r>
      <w:proofErr w:type="gramStart"/>
      <w:r>
        <w:rPr>
          <w:rFonts w:ascii="Arial" w:hAnsi="Arial" w:cs="Arial"/>
          <w:color w:val="000000"/>
        </w:rPr>
        <w:t>particular coverage</w:t>
      </w:r>
      <w:proofErr w:type="gramEnd"/>
      <w:r>
        <w:rPr>
          <w:rFonts w:ascii="Arial" w:hAnsi="Arial" w:cs="Arial"/>
          <w:color w:val="000000"/>
        </w:rPr>
        <w:t xml:space="preserve"> for a specific illness or treatment. </w:t>
      </w:r>
    </w:p>
    <w:p w14:paraId="2A68FA23" w14:textId="77777777" w:rsidR="00905824" w:rsidRDefault="00905824" w:rsidP="00905824">
      <w:pPr>
        <w:pStyle w:val="NormalWeb"/>
        <w:spacing w:before="590" w:beforeAutospacing="0" w:after="0" w:afterAutospacing="0"/>
        <w:ind w:left="360" w:right="7512"/>
      </w:pPr>
      <w:r>
        <w:rPr>
          <w:rFonts w:ascii="Arial" w:hAnsi="Arial" w:cs="Arial"/>
          <w:b/>
          <w:bCs/>
          <w:color w:val="000000"/>
        </w:rPr>
        <w:t>Conclusion </w:t>
      </w:r>
    </w:p>
    <w:p w14:paraId="1850DB92" w14:textId="77777777" w:rsidR="00905824" w:rsidRDefault="00905824" w:rsidP="00905824">
      <w:pPr>
        <w:pStyle w:val="NormalWeb"/>
        <w:spacing w:before="307" w:beforeAutospacing="0" w:after="0" w:afterAutospacing="0"/>
        <w:ind w:left="360" w:right="437" w:firstLine="360"/>
      </w:pPr>
      <w:r>
        <w:rPr>
          <w:rFonts w:ascii="Arial" w:hAnsi="Arial" w:cs="Arial"/>
          <w:color w:val="000000"/>
        </w:rPr>
        <w:t xml:space="preserve">The potential acquisition between these two firms is interesting. In a way, </w:t>
      </w:r>
      <w:proofErr w:type="gramStart"/>
      <w:r>
        <w:rPr>
          <w:rFonts w:ascii="Arial" w:hAnsi="Arial" w:cs="Arial"/>
          <w:color w:val="000000"/>
        </w:rPr>
        <w:t>it’s</w:t>
      </w:r>
      <w:proofErr w:type="gramEnd"/>
      <w:r>
        <w:rPr>
          <w:rFonts w:ascii="Arial" w:hAnsi="Arial" w:cs="Arial"/>
          <w:color w:val="000000"/>
        </w:rPr>
        <w:t xml:space="preserve"> difficult to ascertain the type of acquisition this is. It certainly isn’t </w:t>
      </w:r>
      <w:proofErr w:type="gramStart"/>
      <w:r>
        <w:rPr>
          <w:rFonts w:ascii="Arial" w:hAnsi="Arial" w:cs="Arial"/>
          <w:color w:val="000000"/>
        </w:rPr>
        <w:t>horizontal, but</w:t>
      </w:r>
      <w:proofErr w:type="gramEnd"/>
      <w:r>
        <w:rPr>
          <w:rFonts w:ascii="Arial" w:hAnsi="Arial" w:cs="Arial"/>
          <w:color w:val="000000"/>
        </w:rPr>
        <w:t xml:space="preserve"> could be considered both vertical and conglomerate. Vertical because Aetna patients would be driven to use CVS pharmacies, but conglomerate because the </w:t>
      </w:r>
      <w:r>
        <w:rPr>
          <w:rFonts w:ascii="Arial" w:hAnsi="Arial" w:cs="Arial"/>
          <w:color w:val="000000"/>
        </w:rPr>
        <w:lastRenderedPageBreak/>
        <w:t>pharmacy component of Aetna is negligible. So, at the end of the day, is this really a good acquisition for CVS shareholders or is it just a defensive measure against the possible competition coming from companies such as Amazon that have suggested a potential entry into this market? </w:t>
      </w:r>
    </w:p>
    <w:p w14:paraId="7104351F" w14:textId="77777777" w:rsidR="00905824" w:rsidRDefault="00905824" w:rsidP="00905824">
      <w:pPr>
        <w:pStyle w:val="NormalWeb"/>
        <w:spacing w:before="9480" w:beforeAutospacing="0" w:after="0" w:afterAutospacing="0"/>
        <w:ind w:left="4454" w:right="4445"/>
      </w:pPr>
      <w:r>
        <w:rPr>
          <w:rFonts w:ascii="Arial" w:hAnsi="Arial" w:cs="Arial"/>
          <w:color w:val="000000"/>
        </w:rPr>
        <w:t>8 </w:t>
      </w:r>
    </w:p>
    <w:p w14:paraId="4976D23C" w14:textId="77777777" w:rsidR="00905824" w:rsidRDefault="00905824" w:rsidP="00905824">
      <w:pPr>
        <w:pStyle w:val="NormalWeb"/>
        <w:spacing w:before="1368" w:beforeAutospacing="0" w:after="0" w:afterAutospacing="0"/>
        <w:ind w:left="360" w:right="7776"/>
      </w:pPr>
      <w:r>
        <w:rPr>
          <w:rFonts w:ascii="Arial" w:hAnsi="Arial" w:cs="Arial"/>
          <w:color w:val="000000"/>
        </w:rPr>
        <w:t>Exhibit 1 </w:t>
      </w:r>
    </w:p>
    <w:p w14:paraId="6E6C17E5" w14:textId="77777777" w:rsidR="00905824" w:rsidRDefault="00905824" w:rsidP="00905824">
      <w:pPr>
        <w:pStyle w:val="NormalWeb"/>
        <w:spacing w:before="307" w:beforeAutospacing="0" w:after="0" w:afterAutospacing="0"/>
        <w:ind w:left="3576" w:right="-682"/>
      </w:pPr>
      <w:r>
        <w:rPr>
          <w:rFonts w:ascii="Arial" w:hAnsi="Arial" w:cs="Arial"/>
          <w:b/>
          <w:bCs/>
          <w:color w:val="000000"/>
        </w:rPr>
        <w:lastRenderedPageBreak/>
        <w:t xml:space="preserve">CVS Stock Values </w:t>
      </w:r>
      <w:r>
        <w:rPr>
          <w:rFonts w:ascii="Arial" w:hAnsi="Arial" w:cs="Arial"/>
          <w:color w:val="000000"/>
          <w:sz w:val="16"/>
          <w:szCs w:val="16"/>
          <w:vertAlign w:val="subscript"/>
        </w:rPr>
        <w:t>Q1 Q2 Q3 Q4 Year </w:t>
      </w:r>
    </w:p>
    <w:p w14:paraId="43DD8CB3" w14:textId="77777777" w:rsidR="00905824" w:rsidRDefault="00905824" w:rsidP="00905824">
      <w:pPr>
        <w:pStyle w:val="NormalWeb"/>
        <w:spacing w:before="163" w:beforeAutospacing="0" w:after="0" w:afterAutospacing="0"/>
        <w:ind w:left="470" w:right="-778"/>
      </w:pPr>
      <w:r>
        <w:rPr>
          <w:rFonts w:ascii="Arial" w:hAnsi="Arial" w:cs="Arial"/>
          <w:color w:val="000000"/>
          <w:sz w:val="16"/>
          <w:szCs w:val="16"/>
        </w:rPr>
        <w:t>2017 High $ 83.92 $ 82.79 $ 83.31 $ 80.91 $ 82.79 </w:t>
      </w:r>
    </w:p>
    <w:p w14:paraId="256B8712" w14:textId="77777777" w:rsidR="00905824" w:rsidRDefault="00905824" w:rsidP="00905824">
      <w:pPr>
        <w:pStyle w:val="NormalWeb"/>
        <w:spacing w:before="139" w:beforeAutospacing="0" w:after="0" w:afterAutospacing="0"/>
        <w:ind w:left="830" w:right="-778"/>
      </w:pPr>
      <w:r>
        <w:rPr>
          <w:rFonts w:ascii="Arial" w:hAnsi="Arial" w:cs="Arial"/>
          <w:color w:val="000000"/>
          <w:sz w:val="16"/>
          <w:szCs w:val="16"/>
        </w:rPr>
        <w:t>Low $ 74.80 $ 75.95 $ 75.35 $ 66.80 $ 66.80 </w:t>
      </w:r>
    </w:p>
    <w:p w14:paraId="2929816D" w14:textId="77777777" w:rsidR="00905824" w:rsidRDefault="00905824" w:rsidP="00905824">
      <w:pPr>
        <w:pStyle w:val="NormalWeb"/>
        <w:spacing w:before="144" w:beforeAutospacing="0" w:after="0" w:afterAutospacing="0"/>
        <w:ind w:left="826" w:right="-802"/>
      </w:pPr>
      <w:r>
        <w:rPr>
          <w:rFonts w:ascii="Arial" w:hAnsi="Arial" w:cs="Arial"/>
          <w:color w:val="000000"/>
          <w:sz w:val="16"/>
          <w:szCs w:val="16"/>
        </w:rPr>
        <w:t>Cash dividends per common share $ 0.50 $ 0.50 $ 0.50 $ 0.50 $ 2.00 </w:t>
      </w:r>
    </w:p>
    <w:p w14:paraId="3856FBCE" w14:textId="77777777" w:rsidR="00905824" w:rsidRDefault="00905824" w:rsidP="00905824">
      <w:pPr>
        <w:pStyle w:val="NormalWeb"/>
        <w:spacing w:before="139" w:beforeAutospacing="0" w:after="0" w:afterAutospacing="0"/>
        <w:ind w:left="470" w:right="-749"/>
      </w:pPr>
      <w:r>
        <w:rPr>
          <w:rFonts w:ascii="Arial" w:hAnsi="Arial" w:cs="Arial"/>
          <w:color w:val="000000"/>
          <w:sz w:val="16"/>
          <w:szCs w:val="16"/>
        </w:rPr>
        <w:t>2016 High $ 104.05 $ 106.10 $ 98.06 $ 88.80 $ 106.10 </w:t>
      </w:r>
    </w:p>
    <w:p w14:paraId="7C06D311" w14:textId="77777777" w:rsidR="00905824" w:rsidRDefault="00905824" w:rsidP="00905824">
      <w:pPr>
        <w:pStyle w:val="NormalWeb"/>
        <w:spacing w:before="144" w:beforeAutospacing="0" w:after="0" w:afterAutospacing="0"/>
        <w:ind w:left="830" w:right="-778"/>
      </w:pPr>
      <w:r>
        <w:rPr>
          <w:rFonts w:ascii="Arial" w:hAnsi="Arial" w:cs="Arial"/>
          <w:color w:val="000000"/>
          <w:sz w:val="16"/>
          <w:szCs w:val="16"/>
        </w:rPr>
        <w:t>Low $ 89.65 $ 93.21 $ 88.99 $ 73.53 $ 73.53 </w:t>
      </w:r>
    </w:p>
    <w:p w14:paraId="2CDC2D16" w14:textId="77777777" w:rsidR="00905824" w:rsidRDefault="00905824" w:rsidP="00905824">
      <w:pPr>
        <w:pStyle w:val="NormalWeb"/>
        <w:spacing w:before="139" w:beforeAutospacing="0" w:after="0" w:afterAutospacing="0"/>
        <w:ind w:left="826" w:right="-802"/>
      </w:pPr>
      <w:r>
        <w:rPr>
          <w:rFonts w:ascii="Arial" w:hAnsi="Arial" w:cs="Arial"/>
          <w:color w:val="000000"/>
          <w:sz w:val="16"/>
          <w:szCs w:val="16"/>
        </w:rPr>
        <w:t>Cash dividends per common share $ 0.425 $ 0.425 $ 0.425 $ 0.425 $ 1.70 </w:t>
      </w:r>
    </w:p>
    <w:p w14:paraId="15BA6CDA" w14:textId="77777777" w:rsidR="00905824" w:rsidRDefault="00905824" w:rsidP="00905824">
      <w:pPr>
        <w:pStyle w:val="NormalWeb"/>
        <w:spacing w:before="9816" w:beforeAutospacing="0" w:after="0" w:afterAutospacing="0"/>
        <w:ind w:left="4454" w:right="4445"/>
      </w:pPr>
      <w:r>
        <w:rPr>
          <w:rFonts w:ascii="Arial" w:hAnsi="Arial" w:cs="Arial"/>
          <w:color w:val="000000"/>
        </w:rPr>
        <w:t>9 </w:t>
      </w:r>
    </w:p>
    <w:p w14:paraId="2BEEA217" w14:textId="77777777" w:rsidR="00905824" w:rsidRDefault="00905824" w:rsidP="00905824">
      <w:pPr>
        <w:pStyle w:val="NormalWeb"/>
        <w:spacing w:before="1090" w:beforeAutospacing="0" w:after="0" w:afterAutospacing="0"/>
        <w:ind w:left="360" w:right="7776"/>
      </w:pPr>
      <w:r>
        <w:rPr>
          <w:rFonts w:ascii="Arial" w:hAnsi="Arial" w:cs="Arial"/>
          <w:color w:val="000000"/>
        </w:rPr>
        <w:lastRenderedPageBreak/>
        <w:t>Exhibit 2 </w:t>
      </w:r>
    </w:p>
    <w:p w14:paraId="7CCD1D59" w14:textId="77777777" w:rsidR="00905824" w:rsidRDefault="00905824" w:rsidP="00905824">
      <w:pPr>
        <w:pStyle w:val="NormalWeb"/>
        <w:spacing w:before="312" w:beforeAutospacing="0" w:after="0" w:afterAutospacing="0"/>
        <w:ind w:left="3792" w:right="3797"/>
        <w:jc w:val="center"/>
      </w:pPr>
      <w:r>
        <w:rPr>
          <w:rFonts w:ascii="Arial" w:hAnsi="Arial" w:cs="Arial"/>
          <w:b/>
          <w:bCs/>
          <w:color w:val="000000"/>
        </w:rPr>
        <w:t>CVS Balance Sheet </w:t>
      </w:r>
    </w:p>
    <w:p w14:paraId="63EBED18" w14:textId="77777777" w:rsidR="00905824" w:rsidRDefault="00905824" w:rsidP="00905824">
      <w:pPr>
        <w:pStyle w:val="NormalWeb"/>
        <w:spacing w:before="427" w:beforeAutospacing="0" w:after="0" w:afterAutospacing="0"/>
        <w:ind w:left="5760" w:right="1435"/>
      </w:pPr>
      <w:r>
        <w:rPr>
          <w:rFonts w:ascii="Arial" w:hAnsi="Arial" w:cs="Arial"/>
          <w:color w:val="000000"/>
          <w:sz w:val="16"/>
          <w:szCs w:val="16"/>
        </w:rPr>
        <w:t>YEAR ENDED DECEMBER 31, </w:t>
      </w:r>
    </w:p>
    <w:p w14:paraId="6CF3A508" w14:textId="77777777" w:rsidR="00905824" w:rsidRDefault="00905824" w:rsidP="00905824">
      <w:pPr>
        <w:pStyle w:val="NormalWeb"/>
        <w:spacing w:before="163" w:beforeAutospacing="0" w:after="0" w:afterAutospacing="0"/>
        <w:ind w:left="470" w:right="912"/>
      </w:pPr>
      <w:r>
        <w:rPr>
          <w:rFonts w:ascii="Arial" w:hAnsi="Arial" w:cs="Arial"/>
          <w:color w:val="000000"/>
          <w:sz w:val="16"/>
          <w:szCs w:val="16"/>
        </w:rPr>
        <w:t>IN MILLIONS, EXCEPT PER SHARE AMOUNTS 2016 2015 </w:t>
      </w:r>
    </w:p>
    <w:p w14:paraId="5A0F12A6" w14:textId="77777777" w:rsidR="00905824" w:rsidRDefault="00905824" w:rsidP="00905824">
      <w:pPr>
        <w:pStyle w:val="NormalWeb"/>
        <w:spacing w:before="158" w:beforeAutospacing="0" w:after="0" w:afterAutospacing="0"/>
        <w:ind w:left="470" w:right="8088"/>
      </w:pPr>
      <w:r>
        <w:rPr>
          <w:rFonts w:ascii="Arial" w:hAnsi="Arial" w:cs="Arial"/>
          <w:color w:val="000000"/>
          <w:sz w:val="16"/>
          <w:szCs w:val="16"/>
        </w:rPr>
        <w:t>Assets: </w:t>
      </w:r>
    </w:p>
    <w:p w14:paraId="0F4B5621" w14:textId="77777777" w:rsidR="00905824" w:rsidRDefault="00905824" w:rsidP="00905824">
      <w:pPr>
        <w:pStyle w:val="NormalWeb"/>
        <w:spacing w:before="144" w:beforeAutospacing="0" w:after="0" w:afterAutospacing="0"/>
        <w:ind w:left="720" w:right="1253"/>
      </w:pPr>
      <w:r>
        <w:rPr>
          <w:rFonts w:ascii="Arial" w:hAnsi="Arial" w:cs="Arial"/>
          <w:color w:val="000000"/>
          <w:sz w:val="16"/>
          <w:szCs w:val="16"/>
        </w:rPr>
        <w:t xml:space="preserve">Cash and cash equivalents </w:t>
      </w:r>
      <w:r>
        <w:rPr>
          <w:rFonts w:ascii="Arial" w:hAnsi="Arial" w:cs="Arial"/>
          <w:b/>
          <w:bCs/>
          <w:color w:val="000000"/>
          <w:sz w:val="16"/>
          <w:szCs w:val="16"/>
        </w:rPr>
        <w:t xml:space="preserve">$ 3,371 </w:t>
      </w:r>
      <w:r>
        <w:rPr>
          <w:rFonts w:ascii="Arial" w:hAnsi="Arial" w:cs="Arial"/>
          <w:color w:val="000000"/>
          <w:sz w:val="16"/>
          <w:szCs w:val="16"/>
        </w:rPr>
        <w:t>$ 2,459 </w:t>
      </w:r>
    </w:p>
    <w:p w14:paraId="5833F213" w14:textId="77777777" w:rsidR="00905824" w:rsidRDefault="00905824" w:rsidP="00905824">
      <w:pPr>
        <w:pStyle w:val="NormalWeb"/>
        <w:spacing w:before="139" w:beforeAutospacing="0" w:after="0" w:afterAutospacing="0"/>
        <w:ind w:left="720" w:right="1138"/>
      </w:pPr>
      <w:r>
        <w:rPr>
          <w:rFonts w:ascii="Arial" w:hAnsi="Arial" w:cs="Arial"/>
          <w:color w:val="000000"/>
          <w:sz w:val="16"/>
          <w:szCs w:val="16"/>
        </w:rPr>
        <w:t xml:space="preserve">Short-term investments </w:t>
      </w:r>
      <w:r>
        <w:rPr>
          <w:rFonts w:ascii="Arial" w:hAnsi="Arial" w:cs="Arial"/>
          <w:b/>
          <w:bCs/>
          <w:color w:val="000000"/>
          <w:sz w:val="16"/>
          <w:szCs w:val="16"/>
        </w:rPr>
        <w:t xml:space="preserve">87 </w:t>
      </w:r>
      <w:r>
        <w:rPr>
          <w:rFonts w:ascii="Arial" w:hAnsi="Arial" w:cs="Arial"/>
          <w:color w:val="000000"/>
          <w:sz w:val="16"/>
          <w:szCs w:val="16"/>
        </w:rPr>
        <w:t>88 </w:t>
      </w:r>
    </w:p>
    <w:p w14:paraId="5BDAA4AF" w14:textId="77777777" w:rsidR="00905824" w:rsidRDefault="00905824" w:rsidP="00905824">
      <w:pPr>
        <w:pStyle w:val="NormalWeb"/>
        <w:spacing w:before="144" w:beforeAutospacing="0" w:after="0" w:afterAutospacing="0"/>
        <w:ind w:left="720" w:right="1253"/>
      </w:pPr>
      <w:r>
        <w:rPr>
          <w:rFonts w:ascii="Arial" w:hAnsi="Arial" w:cs="Arial"/>
          <w:color w:val="000000"/>
          <w:sz w:val="16"/>
          <w:szCs w:val="16"/>
        </w:rPr>
        <w:t xml:space="preserve">Accounts receivable, net </w:t>
      </w:r>
      <w:r>
        <w:rPr>
          <w:rFonts w:ascii="Arial" w:hAnsi="Arial" w:cs="Arial"/>
          <w:b/>
          <w:bCs/>
          <w:color w:val="000000"/>
          <w:sz w:val="16"/>
          <w:szCs w:val="16"/>
        </w:rPr>
        <w:t xml:space="preserve">12,164 </w:t>
      </w:r>
      <w:r>
        <w:rPr>
          <w:rFonts w:ascii="Arial" w:hAnsi="Arial" w:cs="Arial"/>
          <w:color w:val="000000"/>
          <w:sz w:val="16"/>
          <w:szCs w:val="16"/>
        </w:rPr>
        <w:t>11,888 </w:t>
      </w:r>
    </w:p>
    <w:p w14:paraId="6DECA8FC" w14:textId="77777777" w:rsidR="00905824" w:rsidRDefault="00905824" w:rsidP="00905824">
      <w:pPr>
        <w:pStyle w:val="NormalWeb"/>
        <w:spacing w:before="139" w:beforeAutospacing="0" w:after="0" w:afterAutospacing="0"/>
        <w:ind w:left="720" w:right="1253"/>
      </w:pPr>
      <w:r>
        <w:rPr>
          <w:rFonts w:ascii="Arial" w:hAnsi="Arial" w:cs="Arial"/>
          <w:color w:val="000000"/>
          <w:sz w:val="16"/>
          <w:szCs w:val="16"/>
        </w:rPr>
        <w:t xml:space="preserve">Inventories </w:t>
      </w:r>
      <w:r>
        <w:rPr>
          <w:rFonts w:ascii="Arial" w:hAnsi="Arial" w:cs="Arial"/>
          <w:b/>
          <w:bCs/>
          <w:color w:val="000000"/>
          <w:sz w:val="16"/>
          <w:szCs w:val="16"/>
        </w:rPr>
        <w:t xml:space="preserve">14,760 </w:t>
      </w:r>
      <w:r>
        <w:rPr>
          <w:rFonts w:ascii="Arial" w:hAnsi="Arial" w:cs="Arial"/>
          <w:color w:val="000000"/>
          <w:sz w:val="16"/>
          <w:szCs w:val="16"/>
        </w:rPr>
        <w:t>14,001 </w:t>
      </w:r>
    </w:p>
    <w:p w14:paraId="2B1BBC77" w14:textId="77777777" w:rsidR="00905824" w:rsidRDefault="00905824" w:rsidP="00905824">
      <w:pPr>
        <w:pStyle w:val="NormalWeb"/>
        <w:spacing w:before="144" w:beforeAutospacing="0" w:after="0" w:afterAutospacing="0"/>
        <w:ind w:left="720" w:right="1166"/>
      </w:pPr>
      <w:r>
        <w:rPr>
          <w:rFonts w:ascii="Arial" w:hAnsi="Arial" w:cs="Arial"/>
          <w:color w:val="000000"/>
          <w:sz w:val="16"/>
          <w:szCs w:val="16"/>
        </w:rPr>
        <w:t xml:space="preserve">Other current assets </w:t>
      </w:r>
      <w:r>
        <w:rPr>
          <w:rFonts w:ascii="Arial" w:hAnsi="Arial" w:cs="Arial"/>
          <w:b/>
          <w:bCs/>
          <w:color w:val="000000"/>
          <w:sz w:val="16"/>
          <w:szCs w:val="16"/>
        </w:rPr>
        <w:t xml:space="preserve">660 </w:t>
      </w:r>
      <w:r>
        <w:rPr>
          <w:rFonts w:ascii="Arial" w:hAnsi="Arial" w:cs="Arial"/>
          <w:color w:val="000000"/>
          <w:sz w:val="16"/>
          <w:szCs w:val="16"/>
        </w:rPr>
        <w:t>722 </w:t>
      </w:r>
    </w:p>
    <w:p w14:paraId="6219F0E1" w14:textId="77777777" w:rsidR="00905824" w:rsidRDefault="00905824" w:rsidP="00905824">
      <w:pPr>
        <w:pStyle w:val="NormalWeb"/>
        <w:spacing w:before="149" w:beforeAutospacing="0" w:after="0" w:afterAutospacing="0"/>
        <w:ind w:left="1046" w:right="1253"/>
      </w:pPr>
      <w:r>
        <w:rPr>
          <w:rFonts w:ascii="Arial" w:hAnsi="Arial" w:cs="Arial"/>
          <w:color w:val="000000"/>
          <w:sz w:val="16"/>
          <w:szCs w:val="16"/>
        </w:rPr>
        <w:t xml:space="preserve">Total current assets </w:t>
      </w:r>
      <w:r>
        <w:rPr>
          <w:rFonts w:ascii="Arial" w:hAnsi="Arial" w:cs="Arial"/>
          <w:b/>
          <w:bCs/>
          <w:color w:val="000000"/>
          <w:sz w:val="16"/>
          <w:szCs w:val="16"/>
        </w:rPr>
        <w:t xml:space="preserve">31,042 </w:t>
      </w:r>
      <w:r>
        <w:rPr>
          <w:rFonts w:ascii="Arial" w:hAnsi="Arial" w:cs="Arial"/>
          <w:color w:val="000000"/>
          <w:sz w:val="16"/>
          <w:szCs w:val="16"/>
        </w:rPr>
        <w:t>29,158 </w:t>
      </w:r>
    </w:p>
    <w:p w14:paraId="183AC4CD" w14:textId="77777777" w:rsidR="00905824" w:rsidRDefault="00905824" w:rsidP="00905824">
      <w:pPr>
        <w:pStyle w:val="NormalWeb"/>
        <w:spacing w:before="144" w:beforeAutospacing="0" w:after="0" w:afterAutospacing="0"/>
        <w:ind w:left="720" w:right="1229"/>
      </w:pPr>
      <w:r>
        <w:rPr>
          <w:rFonts w:ascii="Arial" w:hAnsi="Arial" w:cs="Arial"/>
          <w:color w:val="000000"/>
          <w:sz w:val="16"/>
          <w:szCs w:val="16"/>
        </w:rPr>
        <w:t xml:space="preserve">Property and equipment, net </w:t>
      </w:r>
      <w:r>
        <w:rPr>
          <w:rFonts w:ascii="Arial" w:hAnsi="Arial" w:cs="Arial"/>
          <w:b/>
          <w:bCs/>
          <w:color w:val="000000"/>
          <w:sz w:val="16"/>
          <w:szCs w:val="16"/>
        </w:rPr>
        <w:t xml:space="preserve">10,175 </w:t>
      </w:r>
      <w:r>
        <w:rPr>
          <w:rFonts w:ascii="Arial" w:hAnsi="Arial" w:cs="Arial"/>
          <w:color w:val="000000"/>
          <w:sz w:val="16"/>
          <w:szCs w:val="16"/>
        </w:rPr>
        <w:t>9,855 </w:t>
      </w:r>
    </w:p>
    <w:p w14:paraId="219CB6E1" w14:textId="77777777" w:rsidR="00905824" w:rsidRDefault="00905824" w:rsidP="00905824">
      <w:pPr>
        <w:pStyle w:val="NormalWeb"/>
        <w:spacing w:before="139" w:beforeAutospacing="0" w:after="0" w:afterAutospacing="0"/>
        <w:ind w:left="720" w:right="1253"/>
      </w:pPr>
      <w:r>
        <w:rPr>
          <w:rFonts w:ascii="Arial" w:hAnsi="Arial" w:cs="Arial"/>
          <w:color w:val="000000"/>
          <w:sz w:val="16"/>
          <w:szCs w:val="16"/>
        </w:rPr>
        <w:t xml:space="preserve">Goodwill </w:t>
      </w:r>
      <w:r>
        <w:rPr>
          <w:rFonts w:ascii="Arial" w:hAnsi="Arial" w:cs="Arial"/>
          <w:b/>
          <w:bCs/>
          <w:color w:val="000000"/>
          <w:sz w:val="16"/>
          <w:szCs w:val="16"/>
        </w:rPr>
        <w:t xml:space="preserve">38,249 </w:t>
      </w:r>
      <w:r>
        <w:rPr>
          <w:rFonts w:ascii="Arial" w:hAnsi="Arial" w:cs="Arial"/>
          <w:color w:val="000000"/>
          <w:sz w:val="16"/>
          <w:szCs w:val="16"/>
        </w:rPr>
        <w:t>38,106 </w:t>
      </w:r>
    </w:p>
    <w:p w14:paraId="14209761" w14:textId="77777777" w:rsidR="00905824" w:rsidRDefault="00905824" w:rsidP="00905824">
      <w:pPr>
        <w:pStyle w:val="NormalWeb"/>
        <w:spacing w:before="144" w:beforeAutospacing="0" w:after="0" w:afterAutospacing="0"/>
        <w:ind w:left="720" w:right="1253"/>
      </w:pPr>
      <w:r>
        <w:rPr>
          <w:rFonts w:ascii="Arial" w:hAnsi="Arial" w:cs="Arial"/>
          <w:color w:val="000000"/>
          <w:sz w:val="16"/>
          <w:szCs w:val="16"/>
        </w:rPr>
        <w:t xml:space="preserve">Intangible assets, net </w:t>
      </w:r>
      <w:r>
        <w:rPr>
          <w:rFonts w:ascii="Arial" w:hAnsi="Arial" w:cs="Arial"/>
          <w:b/>
          <w:bCs/>
          <w:color w:val="000000"/>
          <w:sz w:val="16"/>
          <w:szCs w:val="16"/>
        </w:rPr>
        <w:t xml:space="preserve">13,511 </w:t>
      </w:r>
      <w:r>
        <w:rPr>
          <w:rFonts w:ascii="Arial" w:hAnsi="Arial" w:cs="Arial"/>
          <w:color w:val="000000"/>
          <w:sz w:val="16"/>
          <w:szCs w:val="16"/>
        </w:rPr>
        <w:t>13,878 </w:t>
      </w:r>
    </w:p>
    <w:p w14:paraId="415C1C36" w14:textId="77777777" w:rsidR="00905824" w:rsidRDefault="00905824" w:rsidP="00905824">
      <w:pPr>
        <w:pStyle w:val="NormalWeb"/>
        <w:spacing w:before="139" w:beforeAutospacing="0" w:after="0" w:afterAutospacing="0"/>
        <w:ind w:left="720" w:right="1229"/>
      </w:pPr>
      <w:r>
        <w:rPr>
          <w:rFonts w:ascii="Arial" w:hAnsi="Arial" w:cs="Arial"/>
          <w:color w:val="000000"/>
          <w:sz w:val="16"/>
          <w:szCs w:val="16"/>
        </w:rPr>
        <w:t xml:space="preserve">Other assets </w:t>
      </w:r>
      <w:r>
        <w:rPr>
          <w:rFonts w:ascii="Arial" w:hAnsi="Arial" w:cs="Arial"/>
          <w:b/>
          <w:bCs/>
          <w:color w:val="000000"/>
          <w:sz w:val="16"/>
          <w:szCs w:val="16"/>
        </w:rPr>
        <w:t xml:space="preserve">1,485 </w:t>
      </w:r>
      <w:r>
        <w:rPr>
          <w:rFonts w:ascii="Arial" w:hAnsi="Arial" w:cs="Arial"/>
          <w:color w:val="000000"/>
          <w:sz w:val="16"/>
          <w:szCs w:val="16"/>
        </w:rPr>
        <w:t>1,440 </w:t>
      </w:r>
    </w:p>
    <w:p w14:paraId="05B31166" w14:textId="77777777" w:rsidR="00905824" w:rsidRDefault="00905824" w:rsidP="00905824">
      <w:pPr>
        <w:pStyle w:val="NormalWeb"/>
        <w:spacing w:before="154" w:beforeAutospacing="0" w:after="0" w:afterAutospacing="0"/>
        <w:ind w:left="1046" w:right="1253"/>
      </w:pPr>
      <w:r>
        <w:rPr>
          <w:rFonts w:ascii="Arial" w:hAnsi="Arial" w:cs="Arial"/>
          <w:color w:val="000000"/>
          <w:sz w:val="16"/>
          <w:szCs w:val="16"/>
        </w:rPr>
        <w:t xml:space="preserve">Total non-current assets </w:t>
      </w:r>
      <w:r>
        <w:rPr>
          <w:rFonts w:ascii="Arial" w:hAnsi="Arial" w:cs="Arial"/>
          <w:b/>
          <w:bCs/>
          <w:color w:val="000000"/>
          <w:sz w:val="16"/>
          <w:szCs w:val="16"/>
        </w:rPr>
        <w:t xml:space="preserve">63,420 </w:t>
      </w:r>
      <w:r>
        <w:rPr>
          <w:rFonts w:ascii="Arial" w:hAnsi="Arial" w:cs="Arial"/>
          <w:color w:val="000000"/>
          <w:sz w:val="16"/>
          <w:szCs w:val="16"/>
        </w:rPr>
        <w:t>63,279 </w:t>
      </w:r>
    </w:p>
    <w:p w14:paraId="41AF17FF" w14:textId="77777777" w:rsidR="00905824" w:rsidRDefault="00905824" w:rsidP="00905824">
      <w:pPr>
        <w:pStyle w:val="NormalWeb"/>
        <w:spacing w:before="173" w:beforeAutospacing="0" w:after="0" w:afterAutospacing="0"/>
        <w:ind w:left="1262" w:right="1286"/>
      </w:pPr>
      <w:r>
        <w:rPr>
          <w:rFonts w:ascii="Arial" w:hAnsi="Arial" w:cs="Arial"/>
          <w:color w:val="000000"/>
          <w:sz w:val="16"/>
          <w:szCs w:val="16"/>
        </w:rPr>
        <w:t xml:space="preserve">Total assets </w:t>
      </w:r>
      <w:r>
        <w:rPr>
          <w:rFonts w:ascii="Arial" w:hAnsi="Arial" w:cs="Arial"/>
          <w:b/>
          <w:bCs/>
          <w:color w:val="000000"/>
          <w:sz w:val="16"/>
          <w:szCs w:val="16"/>
        </w:rPr>
        <w:t xml:space="preserve">$ 94,462 </w:t>
      </w:r>
      <w:r>
        <w:rPr>
          <w:rFonts w:ascii="Arial" w:hAnsi="Arial" w:cs="Arial"/>
          <w:color w:val="000000"/>
          <w:sz w:val="16"/>
          <w:szCs w:val="16"/>
        </w:rPr>
        <w:t>$ 92,437 </w:t>
      </w:r>
    </w:p>
    <w:p w14:paraId="75387656" w14:textId="77777777" w:rsidR="00905824" w:rsidRDefault="00905824" w:rsidP="00905824">
      <w:pPr>
        <w:pStyle w:val="NormalWeb"/>
        <w:spacing w:before="763" w:beforeAutospacing="0" w:after="0" w:afterAutospacing="0"/>
        <w:ind w:left="470" w:right="7901"/>
      </w:pPr>
      <w:r>
        <w:rPr>
          <w:rFonts w:ascii="Arial" w:hAnsi="Arial" w:cs="Arial"/>
          <w:color w:val="000000"/>
          <w:sz w:val="16"/>
          <w:szCs w:val="16"/>
        </w:rPr>
        <w:t>Liabilities: </w:t>
      </w:r>
    </w:p>
    <w:p w14:paraId="1220C63E" w14:textId="77777777" w:rsidR="00905824" w:rsidRDefault="00905824" w:rsidP="00905824">
      <w:pPr>
        <w:pStyle w:val="NormalWeb"/>
        <w:spacing w:before="139" w:beforeAutospacing="0" w:after="0" w:afterAutospacing="0"/>
        <w:ind w:left="758" w:right="1253"/>
      </w:pPr>
      <w:r>
        <w:rPr>
          <w:rFonts w:ascii="Arial" w:hAnsi="Arial" w:cs="Arial"/>
          <w:color w:val="000000"/>
          <w:sz w:val="16"/>
          <w:szCs w:val="16"/>
        </w:rPr>
        <w:t xml:space="preserve">Accounts payable </w:t>
      </w:r>
      <w:r>
        <w:rPr>
          <w:rFonts w:ascii="Arial" w:hAnsi="Arial" w:cs="Arial"/>
          <w:b/>
          <w:bCs/>
          <w:color w:val="000000"/>
          <w:sz w:val="16"/>
          <w:szCs w:val="16"/>
        </w:rPr>
        <w:t xml:space="preserve">$ 7,946 </w:t>
      </w:r>
      <w:r>
        <w:rPr>
          <w:rFonts w:ascii="Arial" w:hAnsi="Arial" w:cs="Arial"/>
          <w:color w:val="000000"/>
          <w:sz w:val="16"/>
          <w:szCs w:val="16"/>
        </w:rPr>
        <w:t>$ 7,490 </w:t>
      </w:r>
    </w:p>
    <w:p w14:paraId="0E61FBE3" w14:textId="77777777" w:rsidR="00905824" w:rsidRDefault="00905824" w:rsidP="00905824">
      <w:pPr>
        <w:pStyle w:val="NormalWeb"/>
        <w:spacing w:before="144" w:beforeAutospacing="0" w:after="0" w:afterAutospacing="0"/>
        <w:ind w:left="758" w:right="1229"/>
      </w:pPr>
      <w:r>
        <w:rPr>
          <w:rFonts w:ascii="Arial" w:hAnsi="Arial" w:cs="Arial"/>
          <w:color w:val="000000"/>
          <w:sz w:val="16"/>
          <w:szCs w:val="16"/>
        </w:rPr>
        <w:t xml:space="preserve">Claims and discounts payable </w:t>
      </w:r>
      <w:r>
        <w:rPr>
          <w:rFonts w:ascii="Arial" w:hAnsi="Arial" w:cs="Arial"/>
          <w:b/>
          <w:bCs/>
          <w:color w:val="000000"/>
          <w:sz w:val="16"/>
          <w:szCs w:val="16"/>
        </w:rPr>
        <w:t xml:space="preserve">9,451 </w:t>
      </w:r>
      <w:r>
        <w:rPr>
          <w:rFonts w:ascii="Arial" w:hAnsi="Arial" w:cs="Arial"/>
          <w:color w:val="000000"/>
          <w:sz w:val="16"/>
          <w:szCs w:val="16"/>
        </w:rPr>
        <w:t>7,653 </w:t>
      </w:r>
    </w:p>
    <w:p w14:paraId="6008F241" w14:textId="77777777" w:rsidR="00905824" w:rsidRDefault="00905824" w:rsidP="00905824">
      <w:pPr>
        <w:pStyle w:val="NormalWeb"/>
        <w:spacing w:before="139" w:beforeAutospacing="0" w:after="0" w:afterAutospacing="0"/>
        <w:ind w:left="758" w:right="1229"/>
      </w:pPr>
      <w:r>
        <w:rPr>
          <w:rFonts w:ascii="Arial" w:hAnsi="Arial" w:cs="Arial"/>
          <w:color w:val="000000"/>
          <w:sz w:val="16"/>
          <w:szCs w:val="16"/>
        </w:rPr>
        <w:t xml:space="preserve">Accrued expenses </w:t>
      </w:r>
      <w:r>
        <w:rPr>
          <w:rFonts w:ascii="Arial" w:hAnsi="Arial" w:cs="Arial"/>
          <w:b/>
          <w:bCs/>
          <w:color w:val="000000"/>
          <w:sz w:val="16"/>
          <w:szCs w:val="16"/>
        </w:rPr>
        <w:t xml:space="preserve">6,937 </w:t>
      </w:r>
      <w:r>
        <w:rPr>
          <w:rFonts w:ascii="Arial" w:hAnsi="Arial" w:cs="Arial"/>
          <w:color w:val="000000"/>
          <w:sz w:val="16"/>
          <w:szCs w:val="16"/>
        </w:rPr>
        <w:t>6,829 </w:t>
      </w:r>
    </w:p>
    <w:p w14:paraId="524289B2" w14:textId="77777777" w:rsidR="00905824" w:rsidRDefault="00905824" w:rsidP="00905824">
      <w:pPr>
        <w:pStyle w:val="NormalWeb"/>
        <w:spacing w:before="144" w:beforeAutospacing="0" w:after="0" w:afterAutospacing="0"/>
        <w:ind w:left="758" w:right="1181"/>
      </w:pPr>
      <w:r>
        <w:rPr>
          <w:rFonts w:ascii="Arial" w:hAnsi="Arial" w:cs="Arial"/>
          <w:color w:val="000000"/>
          <w:sz w:val="16"/>
          <w:szCs w:val="16"/>
        </w:rPr>
        <w:t xml:space="preserve">Short-term debt </w:t>
      </w:r>
      <w:r>
        <w:rPr>
          <w:rFonts w:ascii="Arial" w:hAnsi="Arial" w:cs="Arial"/>
          <w:b/>
          <w:bCs/>
          <w:color w:val="000000"/>
          <w:sz w:val="16"/>
          <w:szCs w:val="16"/>
        </w:rPr>
        <w:t xml:space="preserve">1,874 </w:t>
      </w:r>
      <w:r>
        <w:rPr>
          <w:rFonts w:ascii="Arial" w:hAnsi="Arial" w:cs="Arial"/>
          <w:color w:val="000000"/>
          <w:sz w:val="16"/>
          <w:szCs w:val="16"/>
        </w:rPr>
        <w:t>- </w:t>
      </w:r>
    </w:p>
    <w:p w14:paraId="5DA94296" w14:textId="77777777" w:rsidR="00905824" w:rsidRDefault="00905824" w:rsidP="00905824">
      <w:pPr>
        <w:pStyle w:val="NormalWeb"/>
        <w:spacing w:before="139" w:beforeAutospacing="0" w:after="0" w:afterAutospacing="0"/>
        <w:ind w:left="758" w:right="1229"/>
      </w:pPr>
      <w:r>
        <w:rPr>
          <w:rFonts w:ascii="Arial" w:hAnsi="Arial" w:cs="Arial"/>
          <w:color w:val="000000"/>
          <w:sz w:val="16"/>
          <w:szCs w:val="16"/>
        </w:rPr>
        <w:t xml:space="preserve">Current portion of long-term debt </w:t>
      </w:r>
      <w:r>
        <w:rPr>
          <w:rFonts w:ascii="Arial" w:hAnsi="Arial" w:cs="Arial"/>
          <w:b/>
          <w:bCs/>
          <w:color w:val="000000"/>
          <w:sz w:val="16"/>
          <w:szCs w:val="16"/>
        </w:rPr>
        <w:t xml:space="preserve">42 </w:t>
      </w:r>
      <w:r>
        <w:rPr>
          <w:rFonts w:ascii="Arial" w:hAnsi="Arial" w:cs="Arial"/>
          <w:color w:val="000000"/>
          <w:sz w:val="16"/>
          <w:szCs w:val="16"/>
        </w:rPr>
        <w:t>1,197 </w:t>
      </w:r>
    </w:p>
    <w:p w14:paraId="416C54ED" w14:textId="77777777" w:rsidR="00905824" w:rsidRDefault="00905824" w:rsidP="00905824">
      <w:pPr>
        <w:pStyle w:val="NormalWeb"/>
        <w:spacing w:before="154" w:beforeAutospacing="0" w:after="0" w:afterAutospacing="0"/>
        <w:ind w:left="1046" w:right="1253"/>
      </w:pPr>
      <w:r>
        <w:rPr>
          <w:rFonts w:ascii="Arial" w:hAnsi="Arial" w:cs="Arial"/>
          <w:color w:val="000000"/>
          <w:sz w:val="16"/>
          <w:szCs w:val="16"/>
        </w:rPr>
        <w:t xml:space="preserve">Total current liabilities </w:t>
      </w:r>
      <w:r>
        <w:rPr>
          <w:rFonts w:ascii="Arial" w:hAnsi="Arial" w:cs="Arial"/>
          <w:b/>
          <w:bCs/>
          <w:color w:val="000000"/>
          <w:sz w:val="16"/>
          <w:szCs w:val="16"/>
        </w:rPr>
        <w:t xml:space="preserve">26,250 </w:t>
      </w:r>
      <w:r>
        <w:rPr>
          <w:rFonts w:ascii="Arial" w:hAnsi="Arial" w:cs="Arial"/>
          <w:color w:val="000000"/>
          <w:sz w:val="16"/>
          <w:szCs w:val="16"/>
        </w:rPr>
        <w:t>23,169 </w:t>
      </w:r>
    </w:p>
    <w:p w14:paraId="7402D92B" w14:textId="77777777" w:rsidR="00905824" w:rsidRDefault="00905824" w:rsidP="00905824">
      <w:pPr>
        <w:pStyle w:val="NormalWeb"/>
        <w:spacing w:before="139" w:beforeAutospacing="0" w:after="0" w:afterAutospacing="0"/>
        <w:ind w:left="758" w:right="1253"/>
      </w:pPr>
      <w:r>
        <w:rPr>
          <w:rFonts w:ascii="Arial" w:hAnsi="Arial" w:cs="Arial"/>
          <w:color w:val="000000"/>
          <w:sz w:val="16"/>
          <w:szCs w:val="16"/>
        </w:rPr>
        <w:t xml:space="preserve">Long-term debt </w:t>
      </w:r>
      <w:r>
        <w:rPr>
          <w:rFonts w:ascii="Arial" w:hAnsi="Arial" w:cs="Arial"/>
          <w:b/>
          <w:bCs/>
          <w:color w:val="000000"/>
          <w:sz w:val="16"/>
          <w:szCs w:val="16"/>
        </w:rPr>
        <w:t xml:space="preserve">25,615 </w:t>
      </w:r>
      <w:r>
        <w:rPr>
          <w:rFonts w:ascii="Arial" w:hAnsi="Arial" w:cs="Arial"/>
          <w:color w:val="000000"/>
          <w:sz w:val="16"/>
          <w:szCs w:val="16"/>
        </w:rPr>
        <w:t>26,267 </w:t>
      </w:r>
    </w:p>
    <w:p w14:paraId="2C5234FE" w14:textId="77777777" w:rsidR="00905824" w:rsidRDefault="00905824" w:rsidP="00905824">
      <w:pPr>
        <w:pStyle w:val="NormalWeb"/>
        <w:spacing w:before="144" w:beforeAutospacing="0" w:after="0" w:afterAutospacing="0"/>
        <w:ind w:left="758" w:right="1229"/>
      </w:pPr>
      <w:r>
        <w:rPr>
          <w:rFonts w:ascii="Arial" w:hAnsi="Arial" w:cs="Arial"/>
          <w:color w:val="000000"/>
          <w:sz w:val="16"/>
          <w:szCs w:val="16"/>
        </w:rPr>
        <w:t xml:space="preserve">Deferred income taxes </w:t>
      </w:r>
      <w:r>
        <w:rPr>
          <w:rFonts w:ascii="Arial" w:hAnsi="Arial" w:cs="Arial"/>
          <w:b/>
          <w:bCs/>
          <w:color w:val="000000"/>
          <w:sz w:val="16"/>
          <w:szCs w:val="16"/>
        </w:rPr>
        <w:t xml:space="preserve">4,214 </w:t>
      </w:r>
      <w:r>
        <w:rPr>
          <w:rFonts w:ascii="Arial" w:hAnsi="Arial" w:cs="Arial"/>
          <w:color w:val="000000"/>
          <w:sz w:val="16"/>
          <w:szCs w:val="16"/>
        </w:rPr>
        <w:t>4,217 </w:t>
      </w:r>
    </w:p>
    <w:p w14:paraId="68C7BD2D" w14:textId="77777777" w:rsidR="00905824" w:rsidRDefault="00905824" w:rsidP="00905824">
      <w:pPr>
        <w:pStyle w:val="NormalWeb"/>
        <w:spacing w:before="139" w:beforeAutospacing="0" w:after="0" w:afterAutospacing="0"/>
        <w:ind w:left="758" w:right="1229"/>
      </w:pPr>
      <w:r>
        <w:rPr>
          <w:rFonts w:ascii="Arial" w:hAnsi="Arial" w:cs="Arial"/>
          <w:color w:val="000000"/>
          <w:sz w:val="16"/>
          <w:szCs w:val="16"/>
        </w:rPr>
        <w:t xml:space="preserve">Other long-term liabilities </w:t>
      </w:r>
      <w:r>
        <w:rPr>
          <w:rFonts w:ascii="Arial" w:hAnsi="Arial" w:cs="Arial"/>
          <w:b/>
          <w:bCs/>
          <w:color w:val="000000"/>
          <w:sz w:val="16"/>
          <w:szCs w:val="16"/>
        </w:rPr>
        <w:t xml:space="preserve">1,529 </w:t>
      </w:r>
      <w:r>
        <w:rPr>
          <w:rFonts w:ascii="Arial" w:hAnsi="Arial" w:cs="Arial"/>
          <w:color w:val="000000"/>
          <w:sz w:val="16"/>
          <w:szCs w:val="16"/>
        </w:rPr>
        <w:t>1,542 </w:t>
      </w:r>
    </w:p>
    <w:p w14:paraId="51B15D6F" w14:textId="77777777" w:rsidR="00905824" w:rsidRDefault="00905824" w:rsidP="00905824">
      <w:pPr>
        <w:pStyle w:val="NormalWeb"/>
        <w:spacing w:before="144" w:beforeAutospacing="0" w:after="0" w:afterAutospacing="0"/>
        <w:ind w:left="758" w:right="1181"/>
      </w:pPr>
      <w:r>
        <w:rPr>
          <w:rFonts w:ascii="Arial" w:hAnsi="Arial" w:cs="Arial"/>
          <w:color w:val="000000"/>
          <w:sz w:val="16"/>
          <w:szCs w:val="16"/>
        </w:rPr>
        <w:t xml:space="preserve">Commitments and contingencies </w:t>
      </w:r>
      <w:r>
        <w:rPr>
          <w:rFonts w:ascii="Arial" w:hAnsi="Arial" w:cs="Arial"/>
          <w:b/>
          <w:bCs/>
          <w:color w:val="000000"/>
          <w:sz w:val="16"/>
          <w:szCs w:val="16"/>
        </w:rPr>
        <w:t xml:space="preserve">- </w:t>
      </w:r>
      <w:r>
        <w:rPr>
          <w:rFonts w:ascii="Arial" w:hAnsi="Arial" w:cs="Arial"/>
          <w:color w:val="000000"/>
          <w:sz w:val="16"/>
          <w:szCs w:val="16"/>
        </w:rPr>
        <w:t>- </w:t>
      </w:r>
    </w:p>
    <w:p w14:paraId="1C5A4F5B" w14:textId="77777777" w:rsidR="00905824" w:rsidRDefault="00905824" w:rsidP="00905824">
      <w:pPr>
        <w:pStyle w:val="NormalWeb"/>
        <w:spacing w:before="139" w:beforeAutospacing="0" w:after="0" w:afterAutospacing="0"/>
        <w:ind w:left="758" w:right="1138"/>
      </w:pPr>
      <w:r>
        <w:rPr>
          <w:rFonts w:ascii="Arial" w:hAnsi="Arial" w:cs="Arial"/>
          <w:color w:val="000000"/>
          <w:sz w:val="16"/>
          <w:szCs w:val="16"/>
        </w:rPr>
        <w:t xml:space="preserve">Redeemable noncontrolling interest </w:t>
      </w:r>
      <w:r>
        <w:rPr>
          <w:rFonts w:ascii="Arial" w:hAnsi="Arial" w:cs="Arial"/>
          <w:b/>
          <w:bCs/>
          <w:color w:val="000000"/>
          <w:sz w:val="16"/>
          <w:szCs w:val="16"/>
        </w:rPr>
        <w:t xml:space="preserve">- </w:t>
      </w:r>
      <w:r>
        <w:rPr>
          <w:rFonts w:ascii="Arial" w:hAnsi="Arial" w:cs="Arial"/>
          <w:color w:val="000000"/>
          <w:sz w:val="16"/>
          <w:szCs w:val="16"/>
        </w:rPr>
        <w:t>39 </w:t>
      </w:r>
    </w:p>
    <w:p w14:paraId="4FA31C57" w14:textId="77777777" w:rsidR="00905824" w:rsidRDefault="00905824" w:rsidP="00905824">
      <w:pPr>
        <w:pStyle w:val="NormalWeb"/>
        <w:spacing w:before="154" w:beforeAutospacing="0" w:after="0" w:afterAutospacing="0"/>
        <w:ind w:left="1046" w:right="1253"/>
      </w:pPr>
      <w:r>
        <w:rPr>
          <w:rFonts w:ascii="Arial" w:hAnsi="Arial" w:cs="Arial"/>
          <w:color w:val="000000"/>
          <w:sz w:val="16"/>
          <w:szCs w:val="16"/>
        </w:rPr>
        <w:t xml:space="preserve">Total long-term liabilities </w:t>
      </w:r>
      <w:r>
        <w:rPr>
          <w:rFonts w:ascii="Arial" w:hAnsi="Arial" w:cs="Arial"/>
          <w:b/>
          <w:bCs/>
          <w:color w:val="000000"/>
          <w:sz w:val="16"/>
          <w:szCs w:val="16"/>
        </w:rPr>
        <w:t xml:space="preserve">31,358 </w:t>
      </w:r>
      <w:r>
        <w:rPr>
          <w:rFonts w:ascii="Arial" w:hAnsi="Arial" w:cs="Arial"/>
          <w:color w:val="000000"/>
          <w:sz w:val="16"/>
          <w:szCs w:val="16"/>
        </w:rPr>
        <w:t>32,065 </w:t>
      </w:r>
    </w:p>
    <w:p w14:paraId="3F831DFB" w14:textId="77777777" w:rsidR="00905824" w:rsidRDefault="00905824" w:rsidP="00905824">
      <w:pPr>
        <w:pStyle w:val="NormalWeb"/>
        <w:spacing w:before="173" w:beforeAutospacing="0" w:after="0" w:afterAutospacing="0"/>
        <w:ind w:left="1262" w:right="1286"/>
      </w:pPr>
      <w:r>
        <w:rPr>
          <w:rFonts w:ascii="Arial" w:hAnsi="Arial" w:cs="Arial"/>
          <w:color w:val="000000"/>
          <w:sz w:val="16"/>
          <w:szCs w:val="16"/>
        </w:rPr>
        <w:t xml:space="preserve">Total liabilities </w:t>
      </w:r>
      <w:r>
        <w:rPr>
          <w:rFonts w:ascii="Arial" w:hAnsi="Arial" w:cs="Arial"/>
          <w:b/>
          <w:bCs/>
          <w:color w:val="000000"/>
          <w:sz w:val="16"/>
          <w:szCs w:val="16"/>
        </w:rPr>
        <w:t xml:space="preserve">$ 57,608 </w:t>
      </w:r>
      <w:r>
        <w:rPr>
          <w:rFonts w:ascii="Arial" w:hAnsi="Arial" w:cs="Arial"/>
          <w:color w:val="000000"/>
          <w:sz w:val="16"/>
          <w:szCs w:val="16"/>
        </w:rPr>
        <w:t>$ 55,234 </w:t>
      </w:r>
    </w:p>
    <w:p w14:paraId="24220100" w14:textId="77777777" w:rsidR="00905824" w:rsidRDefault="00905824" w:rsidP="00905824">
      <w:pPr>
        <w:pStyle w:val="NormalWeb"/>
        <w:spacing w:before="2491" w:beforeAutospacing="0" w:after="0" w:afterAutospacing="0"/>
        <w:ind w:left="4392" w:right="4387"/>
      </w:pPr>
      <w:r>
        <w:rPr>
          <w:rFonts w:ascii="Arial" w:hAnsi="Arial" w:cs="Arial"/>
          <w:color w:val="000000"/>
        </w:rPr>
        <w:lastRenderedPageBreak/>
        <w:t>10 </w:t>
      </w:r>
    </w:p>
    <w:p w14:paraId="478D162C" w14:textId="77777777" w:rsidR="00905824" w:rsidRDefault="00905824" w:rsidP="00905824">
      <w:pPr>
        <w:pStyle w:val="NormalWeb"/>
        <w:spacing w:before="1090" w:beforeAutospacing="0" w:after="0" w:afterAutospacing="0"/>
        <w:ind w:left="360" w:right="7776"/>
      </w:pPr>
      <w:r>
        <w:rPr>
          <w:rFonts w:ascii="Arial" w:hAnsi="Arial" w:cs="Arial"/>
          <w:color w:val="000000"/>
        </w:rPr>
        <w:t>Exhibit 3 </w:t>
      </w:r>
    </w:p>
    <w:p w14:paraId="0A98602B" w14:textId="77777777" w:rsidR="00905824" w:rsidRDefault="00905824" w:rsidP="00905824">
      <w:pPr>
        <w:pStyle w:val="NormalWeb"/>
        <w:spacing w:before="312" w:beforeAutospacing="0" w:after="0" w:afterAutospacing="0"/>
        <w:ind w:left="3533" w:right="3538"/>
        <w:jc w:val="center"/>
      </w:pPr>
      <w:r>
        <w:rPr>
          <w:rFonts w:ascii="Arial" w:hAnsi="Arial" w:cs="Arial"/>
          <w:b/>
          <w:bCs/>
          <w:color w:val="000000"/>
        </w:rPr>
        <w:t>CVS Income Statements </w:t>
      </w:r>
    </w:p>
    <w:p w14:paraId="12ADFE5B" w14:textId="77777777" w:rsidR="00905824" w:rsidRDefault="00905824" w:rsidP="00905824">
      <w:pPr>
        <w:pStyle w:val="NormalWeb"/>
        <w:spacing w:before="427" w:beforeAutospacing="0" w:after="0" w:afterAutospacing="0"/>
        <w:ind w:left="5611" w:right="1579"/>
      </w:pPr>
      <w:r>
        <w:rPr>
          <w:rFonts w:ascii="Arial" w:hAnsi="Arial" w:cs="Arial"/>
          <w:color w:val="000000"/>
          <w:sz w:val="16"/>
          <w:szCs w:val="16"/>
        </w:rPr>
        <w:t>YEAR ENDED DECEMBER 31, </w:t>
      </w:r>
    </w:p>
    <w:p w14:paraId="3803AD65" w14:textId="77777777" w:rsidR="00905824" w:rsidRDefault="00905824" w:rsidP="00905824">
      <w:pPr>
        <w:pStyle w:val="NormalWeb"/>
        <w:spacing w:before="163" w:beforeAutospacing="0" w:after="0" w:afterAutospacing="0"/>
        <w:ind w:left="470" w:right="998"/>
      </w:pPr>
      <w:r>
        <w:rPr>
          <w:rFonts w:ascii="Arial" w:hAnsi="Arial" w:cs="Arial"/>
          <w:color w:val="000000"/>
          <w:sz w:val="16"/>
          <w:szCs w:val="16"/>
        </w:rPr>
        <w:t>IN MILLIONS, EXCEPT PER SHARE AMOUNTS 2016 2015 </w:t>
      </w:r>
    </w:p>
    <w:p w14:paraId="001FC859" w14:textId="77777777" w:rsidR="00905824" w:rsidRDefault="00905824" w:rsidP="00905824">
      <w:pPr>
        <w:pStyle w:val="NormalWeb"/>
        <w:spacing w:before="158" w:beforeAutospacing="0" w:after="0" w:afterAutospacing="0"/>
        <w:ind w:left="470" w:right="1435"/>
      </w:pPr>
      <w:r>
        <w:rPr>
          <w:rFonts w:ascii="Arial" w:hAnsi="Arial" w:cs="Arial"/>
          <w:color w:val="000000"/>
          <w:sz w:val="16"/>
          <w:szCs w:val="16"/>
        </w:rPr>
        <w:t xml:space="preserve">Net revenues </w:t>
      </w:r>
      <w:r>
        <w:rPr>
          <w:rFonts w:ascii="Arial" w:hAnsi="Arial" w:cs="Arial"/>
          <w:b/>
          <w:bCs/>
          <w:color w:val="000000"/>
          <w:sz w:val="16"/>
          <w:szCs w:val="16"/>
        </w:rPr>
        <w:t xml:space="preserve">$ 177,526 </w:t>
      </w:r>
      <w:r>
        <w:rPr>
          <w:rFonts w:ascii="Arial" w:hAnsi="Arial" w:cs="Arial"/>
          <w:color w:val="000000"/>
          <w:sz w:val="16"/>
          <w:szCs w:val="16"/>
        </w:rPr>
        <w:t>$ 153,290 </w:t>
      </w:r>
    </w:p>
    <w:p w14:paraId="5E55AAD7" w14:textId="77777777" w:rsidR="00905824" w:rsidRDefault="00905824" w:rsidP="00905824">
      <w:pPr>
        <w:pStyle w:val="NormalWeb"/>
        <w:spacing w:before="144" w:beforeAutospacing="0" w:after="0" w:afterAutospacing="0"/>
        <w:ind w:left="470" w:right="1411"/>
      </w:pPr>
      <w:r>
        <w:rPr>
          <w:rFonts w:ascii="Arial" w:hAnsi="Arial" w:cs="Arial"/>
          <w:color w:val="000000"/>
          <w:sz w:val="16"/>
          <w:szCs w:val="16"/>
        </w:rPr>
        <w:t xml:space="preserve">Cost of revenues </w:t>
      </w:r>
      <w:r>
        <w:rPr>
          <w:rFonts w:ascii="Arial" w:hAnsi="Arial" w:cs="Arial"/>
          <w:b/>
          <w:bCs/>
          <w:color w:val="000000"/>
          <w:sz w:val="16"/>
          <w:szCs w:val="16"/>
        </w:rPr>
        <w:t xml:space="preserve">148,669 </w:t>
      </w:r>
      <w:r>
        <w:rPr>
          <w:rFonts w:ascii="Arial" w:hAnsi="Arial" w:cs="Arial"/>
          <w:color w:val="000000"/>
          <w:sz w:val="16"/>
          <w:szCs w:val="16"/>
        </w:rPr>
        <w:t>126,762 </w:t>
      </w:r>
    </w:p>
    <w:p w14:paraId="1787CFE7" w14:textId="77777777" w:rsidR="00905824" w:rsidRDefault="00905824" w:rsidP="00905824">
      <w:pPr>
        <w:pStyle w:val="NormalWeb"/>
        <w:spacing w:before="149" w:beforeAutospacing="0" w:after="0" w:afterAutospacing="0"/>
        <w:ind w:left="470" w:right="1378"/>
      </w:pPr>
      <w:r>
        <w:rPr>
          <w:rFonts w:ascii="Arial" w:hAnsi="Arial" w:cs="Arial"/>
          <w:color w:val="000000"/>
          <w:sz w:val="16"/>
          <w:szCs w:val="16"/>
        </w:rPr>
        <w:t xml:space="preserve">Gross profit </w:t>
      </w:r>
      <w:r>
        <w:rPr>
          <w:rFonts w:ascii="Arial" w:hAnsi="Arial" w:cs="Arial"/>
          <w:b/>
          <w:bCs/>
          <w:color w:val="000000"/>
          <w:sz w:val="16"/>
          <w:szCs w:val="16"/>
        </w:rPr>
        <w:t xml:space="preserve">28,857 </w:t>
      </w:r>
      <w:r>
        <w:rPr>
          <w:rFonts w:ascii="Arial" w:hAnsi="Arial" w:cs="Arial"/>
          <w:color w:val="000000"/>
          <w:sz w:val="16"/>
          <w:szCs w:val="16"/>
        </w:rPr>
        <w:t>26,528 </w:t>
      </w:r>
    </w:p>
    <w:p w14:paraId="503F91F4" w14:textId="77777777" w:rsidR="00905824" w:rsidRDefault="00905824" w:rsidP="00905824">
      <w:pPr>
        <w:pStyle w:val="NormalWeb"/>
        <w:spacing w:before="144" w:beforeAutospacing="0" w:after="0" w:afterAutospacing="0"/>
        <w:ind w:left="470" w:right="1378"/>
      </w:pPr>
      <w:r>
        <w:rPr>
          <w:rFonts w:ascii="Arial" w:hAnsi="Arial" w:cs="Arial"/>
          <w:color w:val="000000"/>
          <w:sz w:val="16"/>
          <w:szCs w:val="16"/>
        </w:rPr>
        <w:t xml:space="preserve">Operating expenses </w:t>
      </w:r>
      <w:r>
        <w:rPr>
          <w:rFonts w:ascii="Arial" w:hAnsi="Arial" w:cs="Arial"/>
          <w:b/>
          <w:bCs/>
          <w:color w:val="000000"/>
          <w:sz w:val="16"/>
          <w:szCs w:val="16"/>
        </w:rPr>
        <w:t xml:space="preserve">18,519 </w:t>
      </w:r>
      <w:r>
        <w:rPr>
          <w:rFonts w:ascii="Arial" w:hAnsi="Arial" w:cs="Arial"/>
          <w:color w:val="000000"/>
          <w:sz w:val="16"/>
          <w:szCs w:val="16"/>
        </w:rPr>
        <w:t>17,074 </w:t>
      </w:r>
    </w:p>
    <w:p w14:paraId="31CF30F5" w14:textId="77777777" w:rsidR="00905824" w:rsidRDefault="00905824" w:rsidP="00905824">
      <w:pPr>
        <w:pStyle w:val="NormalWeb"/>
        <w:spacing w:before="149" w:beforeAutospacing="0" w:after="0" w:afterAutospacing="0"/>
        <w:ind w:left="470" w:right="1354"/>
      </w:pPr>
      <w:r>
        <w:rPr>
          <w:rFonts w:ascii="Arial" w:hAnsi="Arial" w:cs="Arial"/>
          <w:color w:val="000000"/>
          <w:sz w:val="16"/>
          <w:szCs w:val="16"/>
        </w:rPr>
        <w:t xml:space="preserve">Operating profit </w:t>
      </w:r>
      <w:r>
        <w:rPr>
          <w:rFonts w:ascii="Arial" w:hAnsi="Arial" w:cs="Arial"/>
          <w:b/>
          <w:bCs/>
          <w:color w:val="000000"/>
          <w:sz w:val="16"/>
          <w:szCs w:val="16"/>
        </w:rPr>
        <w:t xml:space="preserve">10,338 </w:t>
      </w:r>
      <w:r>
        <w:rPr>
          <w:rFonts w:ascii="Arial" w:hAnsi="Arial" w:cs="Arial"/>
          <w:color w:val="000000"/>
          <w:sz w:val="16"/>
          <w:szCs w:val="16"/>
        </w:rPr>
        <w:t>9,454 </w:t>
      </w:r>
    </w:p>
    <w:p w14:paraId="7495EF62" w14:textId="77777777" w:rsidR="00905824" w:rsidRDefault="00905824" w:rsidP="00905824">
      <w:pPr>
        <w:pStyle w:val="NormalWeb"/>
        <w:spacing w:before="144" w:beforeAutospacing="0" w:after="0" w:afterAutospacing="0"/>
        <w:ind w:left="470" w:right="1296"/>
      </w:pPr>
      <w:r>
        <w:rPr>
          <w:rFonts w:ascii="Arial" w:hAnsi="Arial" w:cs="Arial"/>
          <w:color w:val="000000"/>
          <w:sz w:val="16"/>
          <w:szCs w:val="16"/>
        </w:rPr>
        <w:t xml:space="preserve">Interest expense, net </w:t>
      </w:r>
      <w:r>
        <w:rPr>
          <w:rFonts w:ascii="Arial" w:hAnsi="Arial" w:cs="Arial"/>
          <w:b/>
          <w:bCs/>
          <w:color w:val="000000"/>
          <w:sz w:val="16"/>
          <w:szCs w:val="16"/>
        </w:rPr>
        <w:t xml:space="preserve">1,058 </w:t>
      </w:r>
      <w:r>
        <w:rPr>
          <w:rFonts w:ascii="Arial" w:hAnsi="Arial" w:cs="Arial"/>
          <w:color w:val="000000"/>
          <w:sz w:val="16"/>
          <w:szCs w:val="16"/>
        </w:rPr>
        <w:t>838 </w:t>
      </w:r>
    </w:p>
    <w:p w14:paraId="370D6E46" w14:textId="77777777" w:rsidR="00905824" w:rsidRDefault="00905824" w:rsidP="00905824">
      <w:pPr>
        <w:pStyle w:val="NormalWeb"/>
        <w:spacing w:before="139" w:beforeAutospacing="0" w:after="0" w:afterAutospacing="0"/>
        <w:ind w:left="470" w:right="1306"/>
      </w:pPr>
      <w:r>
        <w:rPr>
          <w:rFonts w:ascii="Arial" w:hAnsi="Arial" w:cs="Arial"/>
          <w:color w:val="000000"/>
          <w:sz w:val="16"/>
          <w:szCs w:val="16"/>
        </w:rPr>
        <w:t xml:space="preserve">Loss on early extinguishment of debt </w:t>
      </w:r>
      <w:r>
        <w:rPr>
          <w:rFonts w:ascii="Arial" w:hAnsi="Arial" w:cs="Arial"/>
          <w:b/>
          <w:bCs/>
          <w:color w:val="000000"/>
          <w:sz w:val="16"/>
          <w:szCs w:val="16"/>
        </w:rPr>
        <w:t xml:space="preserve">643 </w:t>
      </w:r>
      <w:r>
        <w:rPr>
          <w:rFonts w:ascii="Arial" w:hAnsi="Arial" w:cs="Arial"/>
          <w:color w:val="000000"/>
          <w:sz w:val="16"/>
          <w:szCs w:val="16"/>
        </w:rPr>
        <w:t>- </w:t>
      </w:r>
    </w:p>
    <w:p w14:paraId="194C4E05" w14:textId="77777777" w:rsidR="00905824" w:rsidRDefault="00905824" w:rsidP="00905824">
      <w:pPr>
        <w:pStyle w:val="NormalWeb"/>
        <w:spacing w:before="154" w:beforeAutospacing="0" w:after="0" w:afterAutospacing="0"/>
        <w:ind w:left="470" w:right="1354"/>
      </w:pPr>
      <w:r>
        <w:rPr>
          <w:rFonts w:ascii="Arial" w:hAnsi="Arial" w:cs="Arial"/>
          <w:color w:val="000000"/>
          <w:sz w:val="16"/>
          <w:szCs w:val="16"/>
        </w:rPr>
        <w:t xml:space="preserve">Income before income tax provision </w:t>
      </w:r>
      <w:r>
        <w:rPr>
          <w:rFonts w:ascii="Arial" w:hAnsi="Arial" w:cs="Arial"/>
          <w:b/>
          <w:bCs/>
          <w:color w:val="000000"/>
          <w:sz w:val="16"/>
          <w:szCs w:val="16"/>
        </w:rPr>
        <w:t xml:space="preserve">8,637 </w:t>
      </w:r>
      <w:r>
        <w:rPr>
          <w:rFonts w:ascii="Arial" w:hAnsi="Arial" w:cs="Arial"/>
          <w:color w:val="000000"/>
          <w:sz w:val="16"/>
          <w:szCs w:val="16"/>
        </w:rPr>
        <w:t>8,616 </w:t>
      </w:r>
    </w:p>
    <w:p w14:paraId="1F59E073" w14:textId="77777777" w:rsidR="00905824" w:rsidRDefault="00905824" w:rsidP="00905824">
      <w:pPr>
        <w:pStyle w:val="NormalWeb"/>
        <w:spacing w:before="144" w:beforeAutospacing="0" w:after="0" w:afterAutospacing="0"/>
        <w:ind w:left="470" w:right="1354"/>
      </w:pPr>
      <w:r>
        <w:rPr>
          <w:rFonts w:ascii="Arial" w:hAnsi="Arial" w:cs="Arial"/>
          <w:color w:val="000000"/>
          <w:sz w:val="16"/>
          <w:szCs w:val="16"/>
        </w:rPr>
        <w:t xml:space="preserve">Income tax provision </w:t>
      </w:r>
      <w:r>
        <w:rPr>
          <w:rFonts w:ascii="Arial" w:hAnsi="Arial" w:cs="Arial"/>
          <w:b/>
          <w:bCs/>
          <w:color w:val="000000"/>
          <w:sz w:val="16"/>
          <w:szCs w:val="16"/>
        </w:rPr>
        <w:t xml:space="preserve">3,317 </w:t>
      </w:r>
      <w:r>
        <w:rPr>
          <w:rFonts w:ascii="Arial" w:hAnsi="Arial" w:cs="Arial"/>
          <w:color w:val="000000"/>
          <w:sz w:val="16"/>
          <w:szCs w:val="16"/>
        </w:rPr>
        <w:t>3,386 </w:t>
      </w:r>
    </w:p>
    <w:p w14:paraId="56044BF5" w14:textId="77777777" w:rsidR="00905824" w:rsidRDefault="00905824" w:rsidP="00905824">
      <w:pPr>
        <w:pStyle w:val="NormalWeb"/>
        <w:spacing w:before="149" w:beforeAutospacing="0" w:after="0" w:afterAutospacing="0"/>
        <w:ind w:left="470" w:right="1354"/>
      </w:pPr>
      <w:r>
        <w:rPr>
          <w:rFonts w:ascii="Arial" w:hAnsi="Arial" w:cs="Arial"/>
          <w:color w:val="000000"/>
          <w:sz w:val="16"/>
          <w:szCs w:val="16"/>
        </w:rPr>
        <w:t xml:space="preserve">Income from continuing operations </w:t>
      </w:r>
      <w:r>
        <w:rPr>
          <w:rFonts w:ascii="Arial" w:hAnsi="Arial" w:cs="Arial"/>
          <w:b/>
          <w:bCs/>
          <w:color w:val="000000"/>
          <w:sz w:val="16"/>
          <w:szCs w:val="16"/>
        </w:rPr>
        <w:t xml:space="preserve">5,320 </w:t>
      </w:r>
      <w:r>
        <w:rPr>
          <w:rFonts w:ascii="Arial" w:hAnsi="Arial" w:cs="Arial"/>
          <w:color w:val="000000"/>
          <w:sz w:val="16"/>
          <w:szCs w:val="16"/>
        </w:rPr>
        <w:t>5,230 </w:t>
      </w:r>
    </w:p>
    <w:p w14:paraId="7DE2C7F9" w14:textId="77777777" w:rsidR="00905824" w:rsidRDefault="00905824" w:rsidP="00905824">
      <w:pPr>
        <w:pStyle w:val="NormalWeb"/>
        <w:spacing w:before="144" w:beforeAutospacing="0" w:after="0" w:afterAutospacing="0"/>
        <w:ind w:left="470" w:right="1238"/>
      </w:pPr>
      <w:r>
        <w:rPr>
          <w:rFonts w:ascii="Arial" w:hAnsi="Arial" w:cs="Arial"/>
          <w:color w:val="000000"/>
          <w:sz w:val="16"/>
          <w:szCs w:val="16"/>
        </w:rPr>
        <w:t xml:space="preserve">Income(loss) from discontinued operations </w:t>
      </w:r>
      <w:r>
        <w:rPr>
          <w:rFonts w:ascii="Arial" w:hAnsi="Arial" w:cs="Arial"/>
          <w:b/>
          <w:bCs/>
          <w:color w:val="000000"/>
          <w:sz w:val="16"/>
          <w:szCs w:val="16"/>
        </w:rPr>
        <w:t xml:space="preserve">(1) </w:t>
      </w:r>
      <w:r>
        <w:rPr>
          <w:rFonts w:ascii="Arial" w:hAnsi="Arial" w:cs="Arial"/>
          <w:color w:val="000000"/>
          <w:sz w:val="16"/>
          <w:szCs w:val="16"/>
        </w:rPr>
        <w:t>9 </w:t>
      </w:r>
    </w:p>
    <w:p w14:paraId="001E90B9" w14:textId="77777777" w:rsidR="00905824" w:rsidRDefault="00905824" w:rsidP="00905824">
      <w:pPr>
        <w:pStyle w:val="NormalWeb"/>
        <w:spacing w:before="158" w:beforeAutospacing="0" w:after="0" w:afterAutospacing="0"/>
        <w:ind w:left="470" w:right="1378"/>
      </w:pPr>
      <w:r>
        <w:rPr>
          <w:rFonts w:ascii="Arial" w:hAnsi="Arial" w:cs="Arial"/>
          <w:color w:val="000000"/>
          <w:sz w:val="16"/>
          <w:szCs w:val="16"/>
        </w:rPr>
        <w:t xml:space="preserve">Net income </w:t>
      </w:r>
      <w:r>
        <w:rPr>
          <w:rFonts w:ascii="Arial" w:hAnsi="Arial" w:cs="Arial"/>
          <w:b/>
          <w:bCs/>
          <w:color w:val="000000"/>
          <w:sz w:val="16"/>
          <w:szCs w:val="16"/>
        </w:rPr>
        <w:t xml:space="preserve">$ 5,319 </w:t>
      </w:r>
      <w:r>
        <w:rPr>
          <w:rFonts w:ascii="Arial" w:hAnsi="Arial" w:cs="Arial"/>
          <w:color w:val="000000"/>
          <w:sz w:val="16"/>
          <w:szCs w:val="16"/>
        </w:rPr>
        <w:t>$ 5,239 </w:t>
      </w:r>
    </w:p>
    <w:p w14:paraId="2FA2C706" w14:textId="77777777" w:rsidR="00905824" w:rsidRDefault="00905824" w:rsidP="00905824">
      <w:pPr>
        <w:pStyle w:val="NormalWeb"/>
        <w:spacing w:before="7656" w:beforeAutospacing="0" w:after="0" w:afterAutospacing="0"/>
        <w:ind w:left="4392" w:right="4387"/>
      </w:pPr>
      <w:r>
        <w:rPr>
          <w:rFonts w:ascii="Arial" w:hAnsi="Arial" w:cs="Arial"/>
          <w:color w:val="000000"/>
        </w:rPr>
        <w:lastRenderedPageBreak/>
        <w:t>11 </w:t>
      </w:r>
    </w:p>
    <w:p w14:paraId="12BA0567" w14:textId="77777777" w:rsidR="00905824" w:rsidRDefault="00905824" w:rsidP="00905824">
      <w:pPr>
        <w:pStyle w:val="NormalWeb"/>
        <w:spacing w:before="1090" w:beforeAutospacing="0" w:after="0" w:afterAutospacing="0"/>
        <w:ind w:left="360" w:right="7776"/>
      </w:pPr>
      <w:r>
        <w:rPr>
          <w:rFonts w:ascii="Arial" w:hAnsi="Arial" w:cs="Arial"/>
          <w:color w:val="000000"/>
        </w:rPr>
        <w:t>Exhibit 4 </w:t>
      </w:r>
    </w:p>
    <w:p w14:paraId="056E0894" w14:textId="77777777" w:rsidR="00905824" w:rsidRDefault="00905824" w:rsidP="00905824">
      <w:pPr>
        <w:pStyle w:val="NormalWeb"/>
        <w:spacing w:before="312" w:beforeAutospacing="0" w:after="0" w:afterAutospacing="0"/>
        <w:ind w:left="4190" w:right="4190"/>
        <w:jc w:val="center"/>
      </w:pPr>
      <w:r>
        <w:rPr>
          <w:rFonts w:ascii="Arial" w:hAnsi="Arial" w:cs="Arial"/>
          <w:b/>
          <w:bCs/>
          <w:color w:val="000000"/>
        </w:rPr>
        <w:t>CVS Stores </w:t>
      </w:r>
    </w:p>
    <w:p w14:paraId="694BC62B" w14:textId="77777777" w:rsidR="00905824" w:rsidRDefault="00905824" w:rsidP="00905824">
      <w:pPr>
        <w:pStyle w:val="NormalWeb"/>
        <w:spacing w:before="446" w:beforeAutospacing="0" w:after="0" w:afterAutospacing="0"/>
        <w:ind w:left="5376" w:right="2189"/>
      </w:pPr>
      <w:r>
        <w:rPr>
          <w:rFonts w:ascii="Arial" w:hAnsi="Arial" w:cs="Arial"/>
          <w:color w:val="000000"/>
          <w:sz w:val="16"/>
          <w:szCs w:val="16"/>
        </w:rPr>
        <w:t>2016 2015 </w:t>
      </w:r>
    </w:p>
    <w:p w14:paraId="1AFE4680" w14:textId="77777777" w:rsidR="00905824" w:rsidRDefault="00905824" w:rsidP="00905824">
      <w:pPr>
        <w:pStyle w:val="NormalWeb"/>
        <w:spacing w:before="163" w:beforeAutospacing="0" w:after="0" w:afterAutospacing="0"/>
        <w:ind w:left="470" w:right="2414"/>
      </w:pPr>
      <w:r>
        <w:rPr>
          <w:rFonts w:ascii="Arial" w:hAnsi="Arial" w:cs="Arial"/>
          <w:color w:val="000000"/>
          <w:sz w:val="16"/>
          <w:szCs w:val="16"/>
        </w:rPr>
        <w:t xml:space="preserve">Total Stores (beginning of year) </w:t>
      </w:r>
      <w:r>
        <w:rPr>
          <w:rFonts w:ascii="Arial" w:hAnsi="Arial" w:cs="Arial"/>
          <w:b/>
          <w:bCs/>
          <w:color w:val="000000"/>
          <w:sz w:val="16"/>
          <w:szCs w:val="16"/>
        </w:rPr>
        <w:t xml:space="preserve">9,665 </w:t>
      </w:r>
      <w:r>
        <w:rPr>
          <w:rFonts w:ascii="Arial" w:hAnsi="Arial" w:cs="Arial"/>
          <w:color w:val="000000"/>
          <w:sz w:val="16"/>
          <w:szCs w:val="16"/>
        </w:rPr>
        <w:t>7,866 </w:t>
      </w:r>
    </w:p>
    <w:p w14:paraId="27E35F0A" w14:textId="77777777" w:rsidR="00905824" w:rsidRDefault="00905824" w:rsidP="00905824">
      <w:pPr>
        <w:pStyle w:val="NormalWeb"/>
        <w:spacing w:before="139" w:beforeAutospacing="0" w:after="0" w:afterAutospacing="0"/>
        <w:ind w:left="470" w:right="2414"/>
      </w:pPr>
      <w:r>
        <w:rPr>
          <w:rFonts w:ascii="Arial" w:hAnsi="Arial" w:cs="Arial"/>
          <w:color w:val="000000"/>
          <w:sz w:val="16"/>
          <w:szCs w:val="16"/>
        </w:rPr>
        <w:t xml:space="preserve">New and acquired stores </w:t>
      </w:r>
      <w:r>
        <w:rPr>
          <w:rFonts w:ascii="Arial" w:hAnsi="Arial" w:cs="Arial"/>
          <w:b/>
          <w:bCs/>
          <w:color w:val="000000"/>
          <w:sz w:val="16"/>
          <w:szCs w:val="16"/>
        </w:rPr>
        <w:t xml:space="preserve">132 </w:t>
      </w:r>
      <w:r>
        <w:rPr>
          <w:rFonts w:ascii="Arial" w:hAnsi="Arial" w:cs="Arial"/>
          <w:color w:val="000000"/>
          <w:sz w:val="16"/>
          <w:szCs w:val="16"/>
        </w:rPr>
        <w:t>1,833 </w:t>
      </w:r>
    </w:p>
    <w:p w14:paraId="58C1C17F" w14:textId="77777777" w:rsidR="00905824" w:rsidRDefault="00905824" w:rsidP="00905824">
      <w:pPr>
        <w:pStyle w:val="NormalWeb"/>
        <w:spacing w:before="144" w:beforeAutospacing="0" w:after="0" w:afterAutospacing="0"/>
        <w:ind w:left="470" w:right="2304"/>
      </w:pPr>
      <w:r>
        <w:rPr>
          <w:rFonts w:ascii="Arial" w:hAnsi="Arial" w:cs="Arial"/>
          <w:color w:val="000000"/>
          <w:sz w:val="16"/>
          <w:szCs w:val="16"/>
        </w:rPr>
        <w:t xml:space="preserve">Closed stores </w:t>
      </w:r>
      <w:r>
        <w:rPr>
          <w:rFonts w:ascii="Arial" w:hAnsi="Arial" w:cs="Arial"/>
          <w:b/>
          <w:bCs/>
          <w:color w:val="000000"/>
          <w:sz w:val="16"/>
          <w:szCs w:val="16"/>
        </w:rPr>
        <w:t xml:space="preserve">(47) </w:t>
      </w:r>
      <w:r>
        <w:rPr>
          <w:rFonts w:ascii="Arial" w:hAnsi="Arial" w:cs="Arial"/>
          <w:color w:val="000000"/>
          <w:sz w:val="16"/>
          <w:szCs w:val="16"/>
        </w:rPr>
        <w:t>(34) </w:t>
      </w:r>
    </w:p>
    <w:p w14:paraId="1C290E30" w14:textId="77777777" w:rsidR="00905824" w:rsidRDefault="00905824" w:rsidP="00905824">
      <w:pPr>
        <w:pStyle w:val="NormalWeb"/>
        <w:spacing w:before="149" w:beforeAutospacing="0" w:after="0" w:afterAutospacing="0"/>
        <w:ind w:left="470" w:right="2414"/>
      </w:pPr>
      <w:r>
        <w:rPr>
          <w:rFonts w:ascii="Arial" w:hAnsi="Arial" w:cs="Arial"/>
          <w:color w:val="000000"/>
          <w:sz w:val="16"/>
          <w:szCs w:val="16"/>
        </w:rPr>
        <w:t xml:space="preserve">Total stores (end of year) </w:t>
      </w:r>
      <w:r>
        <w:rPr>
          <w:rFonts w:ascii="Arial" w:hAnsi="Arial" w:cs="Arial"/>
          <w:b/>
          <w:bCs/>
          <w:color w:val="000000"/>
          <w:sz w:val="16"/>
          <w:szCs w:val="16"/>
        </w:rPr>
        <w:t xml:space="preserve">9,750 </w:t>
      </w:r>
      <w:r>
        <w:rPr>
          <w:rFonts w:ascii="Arial" w:hAnsi="Arial" w:cs="Arial"/>
          <w:color w:val="000000"/>
          <w:sz w:val="16"/>
          <w:szCs w:val="16"/>
        </w:rPr>
        <w:t>9,665 </w:t>
      </w:r>
    </w:p>
    <w:p w14:paraId="6E12143D" w14:textId="77777777" w:rsidR="00905824" w:rsidRDefault="00905824" w:rsidP="00905824">
      <w:pPr>
        <w:pStyle w:val="NormalWeb"/>
        <w:spacing w:before="173" w:beforeAutospacing="0" w:after="0" w:afterAutospacing="0"/>
        <w:ind w:left="470" w:right="2328"/>
      </w:pPr>
      <w:r>
        <w:rPr>
          <w:rFonts w:ascii="Arial" w:hAnsi="Arial" w:cs="Arial"/>
          <w:color w:val="000000"/>
          <w:sz w:val="16"/>
          <w:szCs w:val="16"/>
        </w:rPr>
        <w:t xml:space="preserve">Relocated stores </w:t>
      </w:r>
      <w:r>
        <w:rPr>
          <w:rFonts w:ascii="Arial" w:hAnsi="Arial" w:cs="Arial"/>
          <w:b/>
          <w:bCs/>
          <w:color w:val="000000"/>
          <w:sz w:val="16"/>
          <w:szCs w:val="16"/>
        </w:rPr>
        <w:t xml:space="preserve">50 </w:t>
      </w:r>
      <w:r>
        <w:rPr>
          <w:rFonts w:ascii="Arial" w:hAnsi="Arial" w:cs="Arial"/>
          <w:color w:val="000000"/>
          <w:sz w:val="16"/>
          <w:szCs w:val="16"/>
        </w:rPr>
        <w:t>58 </w:t>
      </w:r>
    </w:p>
    <w:p w14:paraId="469F48F8" w14:textId="77777777" w:rsidR="00905824" w:rsidRDefault="00905824" w:rsidP="00905824">
      <w:pPr>
        <w:pStyle w:val="NormalWeb"/>
        <w:spacing w:before="10075" w:beforeAutospacing="0" w:after="0" w:afterAutospacing="0"/>
        <w:ind w:left="4392" w:right="4387"/>
      </w:pPr>
      <w:r>
        <w:rPr>
          <w:rFonts w:ascii="Arial" w:hAnsi="Arial" w:cs="Arial"/>
          <w:color w:val="000000"/>
        </w:rPr>
        <w:lastRenderedPageBreak/>
        <w:t>12 </w:t>
      </w:r>
    </w:p>
    <w:p w14:paraId="67BF1FA4" w14:textId="77777777" w:rsidR="00905824" w:rsidRDefault="00905824" w:rsidP="00905824">
      <w:pPr>
        <w:pStyle w:val="NormalWeb"/>
        <w:spacing w:before="1090" w:beforeAutospacing="0" w:after="0" w:afterAutospacing="0"/>
        <w:ind w:left="360" w:right="7776"/>
      </w:pPr>
      <w:r>
        <w:rPr>
          <w:rFonts w:ascii="Arial" w:hAnsi="Arial" w:cs="Arial"/>
          <w:color w:val="000000"/>
        </w:rPr>
        <w:t>Exhibit 5 </w:t>
      </w:r>
    </w:p>
    <w:p w14:paraId="2A2DD6B5" w14:textId="77777777" w:rsidR="00905824" w:rsidRDefault="00905824" w:rsidP="00905824">
      <w:pPr>
        <w:pStyle w:val="NormalWeb"/>
        <w:spacing w:before="312" w:beforeAutospacing="0" w:after="0" w:afterAutospacing="0"/>
        <w:ind w:left="3686" w:right="3686"/>
        <w:jc w:val="center"/>
      </w:pPr>
      <w:r>
        <w:rPr>
          <w:rFonts w:ascii="Arial" w:hAnsi="Arial" w:cs="Arial"/>
          <w:b/>
          <w:bCs/>
          <w:color w:val="000000"/>
        </w:rPr>
        <w:t>Aetna Stock Valuation </w:t>
      </w:r>
    </w:p>
    <w:p w14:paraId="3B92A875" w14:textId="77777777" w:rsidR="00905824" w:rsidRDefault="00905824" w:rsidP="00905824">
      <w:pPr>
        <w:pStyle w:val="NormalWeb"/>
        <w:spacing w:before="446" w:beforeAutospacing="0" w:after="0" w:afterAutospacing="0"/>
        <w:ind w:left="3293" w:right="4402"/>
      </w:pPr>
      <w:r>
        <w:rPr>
          <w:rFonts w:ascii="Arial" w:hAnsi="Arial" w:cs="Arial"/>
          <w:color w:val="000000"/>
          <w:sz w:val="16"/>
          <w:szCs w:val="16"/>
        </w:rPr>
        <w:t>High Low </w:t>
      </w:r>
    </w:p>
    <w:p w14:paraId="04556E05" w14:textId="77777777" w:rsidR="00905824" w:rsidRDefault="00905824" w:rsidP="00905824">
      <w:pPr>
        <w:pStyle w:val="NormalWeb"/>
        <w:spacing w:before="163" w:beforeAutospacing="0" w:after="0" w:afterAutospacing="0"/>
        <w:ind w:left="470" w:right="8227"/>
      </w:pPr>
      <w:r>
        <w:rPr>
          <w:rFonts w:ascii="Arial" w:hAnsi="Arial" w:cs="Arial"/>
          <w:b/>
          <w:bCs/>
          <w:color w:val="000000"/>
          <w:sz w:val="16"/>
          <w:szCs w:val="16"/>
        </w:rPr>
        <w:t>2016 </w:t>
      </w:r>
    </w:p>
    <w:p w14:paraId="5C6A5D4D" w14:textId="77777777" w:rsidR="00905824" w:rsidRDefault="00905824" w:rsidP="00905824">
      <w:pPr>
        <w:pStyle w:val="NormalWeb"/>
        <w:spacing w:before="139" w:beforeAutospacing="0" w:after="0" w:afterAutospacing="0"/>
        <w:ind w:left="542" w:right="4003"/>
      </w:pPr>
      <w:r>
        <w:rPr>
          <w:rFonts w:ascii="Arial" w:hAnsi="Arial" w:cs="Arial"/>
          <w:color w:val="000000"/>
          <w:sz w:val="16"/>
          <w:szCs w:val="16"/>
        </w:rPr>
        <w:t xml:space="preserve">Q1 </w:t>
      </w:r>
      <w:r>
        <w:rPr>
          <w:rFonts w:ascii="Arial" w:hAnsi="Arial" w:cs="Arial"/>
          <w:b/>
          <w:bCs/>
          <w:color w:val="000000"/>
          <w:sz w:val="16"/>
          <w:szCs w:val="16"/>
        </w:rPr>
        <w:t>$ 144.19 $ 94.31 </w:t>
      </w:r>
    </w:p>
    <w:p w14:paraId="778A489B" w14:textId="77777777" w:rsidR="00905824" w:rsidRDefault="00905824" w:rsidP="00905824">
      <w:pPr>
        <w:pStyle w:val="NormalWeb"/>
        <w:spacing w:before="144" w:beforeAutospacing="0" w:after="0" w:afterAutospacing="0"/>
        <w:ind w:left="542" w:right="4003"/>
      </w:pPr>
      <w:r>
        <w:rPr>
          <w:rFonts w:ascii="Arial" w:hAnsi="Arial" w:cs="Arial"/>
          <w:color w:val="000000"/>
          <w:sz w:val="16"/>
          <w:szCs w:val="16"/>
        </w:rPr>
        <w:t xml:space="preserve">Q2 </w:t>
      </w:r>
      <w:r>
        <w:rPr>
          <w:rFonts w:ascii="Arial" w:hAnsi="Arial" w:cs="Arial"/>
          <w:b/>
          <w:bCs/>
          <w:color w:val="000000"/>
          <w:sz w:val="16"/>
          <w:szCs w:val="16"/>
        </w:rPr>
        <w:t>122.72 107.90 </w:t>
      </w:r>
    </w:p>
    <w:p w14:paraId="0F106942" w14:textId="77777777" w:rsidR="00905824" w:rsidRDefault="00905824" w:rsidP="00905824">
      <w:pPr>
        <w:pStyle w:val="NormalWeb"/>
        <w:spacing w:before="139" w:beforeAutospacing="0" w:after="0" w:afterAutospacing="0"/>
        <w:ind w:left="542" w:right="4003"/>
      </w:pPr>
      <w:r>
        <w:rPr>
          <w:rFonts w:ascii="Arial" w:hAnsi="Arial" w:cs="Arial"/>
          <w:color w:val="000000"/>
          <w:sz w:val="16"/>
          <w:szCs w:val="16"/>
        </w:rPr>
        <w:t xml:space="preserve">Q3 </w:t>
      </w:r>
      <w:r>
        <w:rPr>
          <w:rFonts w:ascii="Arial" w:hAnsi="Arial" w:cs="Arial"/>
          <w:b/>
          <w:bCs/>
          <w:color w:val="000000"/>
          <w:sz w:val="16"/>
          <w:szCs w:val="16"/>
        </w:rPr>
        <w:t>121.04 112.81 </w:t>
      </w:r>
    </w:p>
    <w:p w14:paraId="03A2C1B4" w14:textId="77777777" w:rsidR="00905824" w:rsidRDefault="00905824" w:rsidP="00905824">
      <w:pPr>
        <w:pStyle w:val="NormalWeb"/>
        <w:spacing w:before="144" w:beforeAutospacing="0" w:after="0" w:afterAutospacing="0"/>
        <w:ind w:left="542" w:right="4003"/>
      </w:pPr>
      <w:r>
        <w:rPr>
          <w:rFonts w:ascii="Arial" w:hAnsi="Arial" w:cs="Arial"/>
          <w:color w:val="000000"/>
          <w:sz w:val="16"/>
          <w:szCs w:val="16"/>
        </w:rPr>
        <w:t xml:space="preserve">Q4 </w:t>
      </w:r>
      <w:r>
        <w:rPr>
          <w:rFonts w:ascii="Arial" w:hAnsi="Arial" w:cs="Arial"/>
          <w:b/>
          <w:bCs/>
          <w:color w:val="000000"/>
          <w:sz w:val="16"/>
          <w:szCs w:val="16"/>
        </w:rPr>
        <w:t>134.90 105.20 </w:t>
      </w:r>
    </w:p>
    <w:p w14:paraId="15EDB6C3" w14:textId="77777777" w:rsidR="00905824" w:rsidRDefault="00905824" w:rsidP="00905824">
      <w:pPr>
        <w:pStyle w:val="NormalWeb"/>
        <w:spacing w:before="139" w:beforeAutospacing="0" w:after="0" w:afterAutospacing="0"/>
        <w:ind w:left="470" w:right="8227"/>
      </w:pPr>
      <w:r>
        <w:rPr>
          <w:rFonts w:ascii="Arial" w:hAnsi="Arial" w:cs="Arial"/>
          <w:b/>
          <w:bCs/>
          <w:color w:val="000000"/>
          <w:sz w:val="16"/>
          <w:szCs w:val="16"/>
        </w:rPr>
        <w:t>2015 </w:t>
      </w:r>
    </w:p>
    <w:p w14:paraId="5B891C4C" w14:textId="77777777" w:rsidR="00905824" w:rsidRDefault="00905824" w:rsidP="00905824">
      <w:pPr>
        <w:pStyle w:val="NormalWeb"/>
        <w:spacing w:before="144" w:beforeAutospacing="0" w:after="0" w:afterAutospacing="0"/>
        <w:ind w:left="542" w:right="4003"/>
      </w:pPr>
      <w:r>
        <w:rPr>
          <w:rFonts w:ascii="Arial" w:hAnsi="Arial" w:cs="Arial"/>
          <w:color w:val="000000"/>
          <w:sz w:val="16"/>
          <w:szCs w:val="16"/>
        </w:rPr>
        <w:t>Q1 $ 109.26 $ 87.60 </w:t>
      </w:r>
    </w:p>
    <w:p w14:paraId="360F780F" w14:textId="77777777" w:rsidR="00905824" w:rsidRDefault="00905824" w:rsidP="00905824">
      <w:pPr>
        <w:pStyle w:val="NormalWeb"/>
        <w:spacing w:before="139" w:beforeAutospacing="0" w:after="0" w:afterAutospacing="0"/>
        <w:ind w:left="542" w:right="4003"/>
      </w:pPr>
      <w:r>
        <w:rPr>
          <w:rFonts w:ascii="Arial" w:hAnsi="Arial" w:cs="Arial"/>
          <w:color w:val="000000"/>
          <w:sz w:val="16"/>
          <w:szCs w:val="16"/>
        </w:rPr>
        <w:t>Q2 132.60 106.08 </w:t>
      </w:r>
    </w:p>
    <w:p w14:paraId="0A7DB93C" w14:textId="77777777" w:rsidR="00905824" w:rsidRDefault="00905824" w:rsidP="00905824">
      <w:pPr>
        <w:pStyle w:val="NormalWeb"/>
        <w:spacing w:before="144" w:beforeAutospacing="0" w:after="0" w:afterAutospacing="0"/>
        <w:ind w:left="542" w:right="4003"/>
      </w:pPr>
      <w:r>
        <w:rPr>
          <w:rFonts w:ascii="Arial" w:hAnsi="Arial" w:cs="Arial"/>
          <w:color w:val="000000"/>
          <w:sz w:val="16"/>
          <w:szCs w:val="16"/>
        </w:rPr>
        <w:t>Q3 128.90 105.30 </w:t>
      </w:r>
    </w:p>
    <w:p w14:paraId="1437E7D9" w14:textId="77777777" w:rsidR="00905824" w:rsidRDefault="00905824" w:rsidP="00905824">
      <w:pPr>
        <w:pStyle w:val="NormalWeb"/>
        <w:spacing w:before="139" w:beforeAutospacing="0" w:after="0" w:afterAutospacing="0"/>
        <w:ind w:left="542" w:right="3979"/>
      </w:pPr>
      <w:r>
        <w:rPr>
          <w:rFonts w:ascii="Arial" w:hAnsi="Arial" w:cs="Arial"/>
          <w:color w:val="000000"/>
          <w:sz w:val="16"/>
          <w:szCs w:val="16"/>
        </w:rPr>
        <w:t>Q4 115.34 99.89 </w:t>
      </w:r>
    </w:p>
    <w:p w14:paraId="3FC63A63" w14:textId="77777777" w:rsidR="00905824" w:rsidRDefault="00905824" w:rsidP="00905824">
      <w:pPr>
        <w:pStyle w:val="NormalWeb"/>
        <w:spacing w:before="8616" w:beforeAutospacing="0" w:after="0" w:afterAutospacing="0"/>
        <w:ind w:left="4392" w:right="4387"/>
      </w:pPr>
      <w:r>
        <w:rPr>
          <w:rFonts w:ascii="Arial" w:hAnsi="Arial" w:cs="Arial"/>
          <w:color w:val="000000"/>
        </w:rPr>
        <w:lastRenderedPageBreak/>
        <w:t>13 </w:t>
      </w:r>
    </w:p>
    <w:p w14:paraId="32BAB78A" w14:textId="77777777" w:rsidR="00905824" w:rsidRDefault="00905824" w:rsidP="00905824">
      <w:pPr>
        <w:pStyle w:val="NormalWeb"/>
        <w:spacing w:before="1090" w:beforeAutospacing="0" w:after="0" w:afterAutospacing="0"/>
        <w:ind w:left="360" w:right="7776"/>
      </w:pPr>
      <w:r>
        <w:rPr>
          <w:rFonts w:ascii="Arial" w:hAnsi="Arial" w:cs="Arial"/>
          <w:color w:val="000000"/>
        </w:rPr>
        <w:t>Exhibit 6 </w:t>
      </w:r>
    </w:p>
    <w:p w14:paraId="401FFF3A" w14:textId="77777777" w:rsidR="00905824" w:rsidRDefault="00905824" w:rsidP="00905824">
      <w:pPr>
        <w:pStyle w:val="NormalWeb"/>
        <w:spacing w:before="312" w:beforeAutospacing="0" w:after="0" w:afterAutospacing="0"/>
        <w:ind w:left="3792" w:right="3797"/>
        <w:jc w:val="center"/>
      </w:pPr>
      <w:r>
        <w:rPr>
          <w:rFonts w:ascii="Arial" w:hAnsi="Arial" w:cs="Arial"/>
          <w:b/>
          <w:bCs/>
          <w:color w:val="000000"/>
        </w:rPr>
        <w:t>Aetna Balance Sheet </w:t>
      </w:r>
    </w:p>
    <w:p w14:paraId="268F2299" w14:textId="77777777" w:rsidR="00905824" w:rsidRDefault="00905824" w:rsidP="00905824">
      <w:pPr>
        <w:pStyle w:val="NormalWeb"/>
        <w:spacing w:before="427" w:beforeAutospacing="0" w:after="0" w:afterAutospacing="0"/>
        <w:ind w:left="5971" w:right="2083"/>
      </w:pPr>
      <w:r>
        <w:rPr>
          <w:rFonts w:ascii="Arial" w:hAnsi="Arial" w:cs="Arial"/>
          <w:color w:val="000000"/>
          <w:sz w:val="16"/>
          <w:szCs w:val="16"/>
        </w:rPr>
        <w:t>DECEMBER 31, </w:t>
      </w:r>
    </w:p>
    <w:p w14:paraId="5C2F08D8" w14:textId="77777777" w:rsidR="00905824" w:rsidRDefault="00905824" w:rsidP="00905824">
      <w:pPr>
        <w:pStyle w:val="NormalWeb"/>
        <w:spacing w:before="163" w:beforeAutospacing="0" w:after="0" w:afterAutospacing="0"/>
        <w:ind w:left="470" w:right="1589"/>
      </w:pPr>
      <w:r>
        <w:rPr>
          <w:rFonts w:ascii="Arial" w:hAnsi="Arial" w:cs="Arial"/>
          <w:color w:val="000000"/>
          <w:sz w:val="16"/>
          <w:szCs w:val="16"/>
        </w:rPr>
        <w:t>(millions) 2016 2015 </w:t>
      </w:r>
    </w:p>
    <w:p w14:paraId="13732854" w14:textId="77777777" w:rsidR="00905824" w:rsidRDefault="00905824" w:rsidP="00905824">
      <w:pPr>
        <w:pStyle w:val="NormalWeb"/>
        <w:spacing w:before="158" w:beforeAutospacing="0" w:after="0" w:afterAutospacing="0"/>
        <w:ind w:left="470" w:right="8088"/>
      </w:pPr>
      <w:r>
        <w:rPr>
          <w:rFonts w:ascii="Arial" w:hAnsi="Arial" w:cs="Arial"/>
          <w:color w:val="000000"/>
          <w:sz w:val="16"/>
          <w:szCs w:val="16"/>
        </w:rPr>
        <w:t>Assets: </w:t>
      </w:r>
    </w:p>
    <w:p w14:paraId="43DEDA89" w14:textId="77777777" w:rsidR="00905824" w:rsidRDefault="00905824" w:rsidP="00905824">
      <w:pPr>
        <w:pStyle w:val="NormalWeb"/>
        <w:spacing w:before="144" w:beforeAutospacing="0" w:after="0" w:afterAutospacing="0"/>
        <w:ind w:left="720" w:right="1776"/>
      </w:pPr>
      <w:r>
        <w:rPr>
          <w:rFonts w:ascii="Arial" w:hAnsi="Arial" w:cs="Arial"/>
          <w:color w:val="000000"/>
          <w:sz w:val="16"/>
          <w:szCs w:val="16"/>
        </w:rPr>
        <w:t xml:space="preserve">Cash and cash equivalents </w:t>
      </w:r>
      <w:r>
        <w:rPr>
          <w:rFonts w:ascii="Arial" w:hAnsi="Arial" w:cs="Arial"/>
          <w:b/>
          <w:bCs/>
          <w:color w:val="000000"/>
          <w:sz w:val="16"/>
          <w:szCs w:val="16"/>
        </w:rPr>
        <w:t xml:space="preserve">$ 17,996 </w:t>
      </w:r>
      <w:r>
        <w:rPr>
          <w:rFonts w:ascii="Arial" w:hAnsi="Arial" w:cs="Arial"/>
          <w:color w:val="000000"/>
          <w:sz w:val="16"/>
          <w:szCs w:val="16"/>
        </w:rPr>
        <w:t>$ 2,524 </w:t>
      </w:r>
    </w:p>
    <w:p w14:paraId="57728033" w14:textId="77777777" w:rsidR="00905824" w:rsidRDefault="00905824" w:rsidP="00905824">
      <w:pPr>
        <w:pStyle w:val="NormalWeb"/>
        <w:spacing w:before="139" w:beforeAutospacing="0" w:after="0" w:afterAutospacing="0"/>
        <w:ind w:left="720" w:right="1742"/>
      </w:pPr>
      <w:r>
        <w:rPr>
          <w:rFonts w:ascii="Arial" w:hAnsi="Arial" w:cs="Arial"/>
          <w:color w:val="000000"/>
          <w:sz w:val="16"/>
          <w:szCs w:val="16"/>
        </w:rPr>
        <w:t xml:space="preserve">Investments </w:t>
      </w:r>
      <w:r>
        <w:rPr>
          <w:rFonts w:ascii="Arial" w:hAnsi="Arial" w:cs="Arial"/>
          <w:b/>
          <w:bCs/>
          <w:color w:val="000000"/>
          <w:sz w:val="16"/>
          <w:szCs w:val="16"/>
        </w:rPr>
        <w:t xml:space="preserve">3,046 </w:t>
      </w:r>
      <w:r>
        <w:rPr>
          <w:rFonts w:ascii="Arial" w:hAnsi="Arial" w:cs="Arial"/>
          <w:color w:val="000000"/>
          <w:sz w:val="16"/>
          <w:szCs w:val="16"/>
        </w:rPr>
        <w:t>3,015 </w:t>
      </w:r>
    </w:p>
    <w:p w14:paraId="5EAD1AD6" w14:textId="77777777" w:rsidR="00905824" w:rsidRDefault="00905824" w:rsidP="00905824">
      <w:pPr>
        <w:pStyle w:val="NormalWeb"/>
        <w:spacing w:before="144" w:beforeAutospacing="0" w:after="0" w:afterAutospacing="0"/>
        <w:ind w:left="720" w:right="1742"/>
      </w:pPr>
      <w:r>
        <w:rPr>
          <w:rFonts w:ascii="Arial" w:hAnsi="Arial" w:cs="Arial"/>
          <w:color w:val="000000"/>
          <w:sz w:val="16"/>
          <w:szCs w:val="16"/>
        </w:rPr>
        <w:t xml:space="preserve">Premiums receivable, net </w:t>
      </w:r>
      <w:r>
        <w:rPr>
          <w:rFonts w:ascii="Arial" w:hAnsi="Arial" w:cs="Arial"/>
          <w:b/>
          <w:bCs/>
          <w:color w:val="000000"/>
          <w:sz w:val="16"/>
          <w:szCs w:val="16"/>
        </w:rPr>
        <w:t xml:space="preserve">2,356 </w:t>
      </w:r>
      <w:r>
        <w:rPr>
          <w:rFonts w:ascii="Arial" w:hAnsi="Arial" w:cs="Arial"/>
          <w:color w:val="000000"/>
          <w:sz w:val="16"/>
          <w:szCs w:val="16"/>
        </w:rPr>
        <w:t>1,880 </w:t>
      </w:r>
    </w:p>
    <w:p w14:paraId="31EB7CAD" w14:textId="77777777" w:rsidR="00905824" w:rsidRDefault="00905824" w:rsidP="00905824">
      <w:pPr>
        <w:pStyle w:val="NormalWeb"/>
        <w:spacing w:before="139" w:beforeAutospacing="0" w:after="0" w:afterAutospacing="0"/>
        <w:ind w:left="720" w:right="1742"/>
      </w:pPr>
      <w:r>
        <w:rPr>
          <w:rFonts w:ascii="Arial" w:hAnsi="Arial" w:cs="Arial"/>
          <w:color w:val="000000"/>
          <w:sz w:val="16"/>
          <w:szCs w:val="16"/>
        </w:rPr>
        <w:t xml:space="preserve">Other receivables, net </w:t>
      </w:r>
      <w:r>
        <w:rPr>
          <w:rFonts w:ascii="Arial" w:hAnsi="Arial" w:cs="Arial"/>
          <w:b/>
          <w:bCs/>
          <w:color w:val="000000"/>
          <w:sz w:val="16"/>
          <w:szCs w:val="16"/>
        </w:rPr>
        <w:t xml:space="preserve">2,224 </w:t>
      </w:r>
      <w:r>
        <w:rPr>
          <w:rFonts w:ascii="Arial" w:hAnsi="Arial" w:cs="Arial"/>
          <w:color w:val="000000"/>
          <w:sz w:val="16"/>
          <w:szCs w:val="16"/>
        </w:rPr>
        <w:t>2,307 </w:t>
      </w:r>
    </w:p>
    <w:p w14:paraId="321AD922" w14:textId="77777777" w:rsidR="00905824" w:rsidRDefault="00905824" w:rsidP="00905824">
      <w:pPr>
        <w:pStyle w:val="NormalWeb"/>
        <w:spacing w:before="144" w:beforeAutospacing="0" w:after="0" w:afterAutospacing="0"/>
        <w:ind w:left="720" w:right="1685"/>
      </w:pPr>
      <w:r>
        <w:rPr>
          <w:rFonts w:ascii="Arial" w:hAnsi="Arial" w:cs="Arial"/>
          <w:color w:val="000000"/>
          <w:sz w:val="16"/>
          <w:szCs w:val="16"/>
        </w:rPr>
        <w:t xml:space="preserve">Accrued investment income </w:t>
      </w:r>
      <w:r>
        <w:rPr>
          <w:rFonts w:ascii="Arial" w:hAnsi="Arial" w:cs="Arial"/>
          <w:b/>
          <w:bCs/>
          <w:color w:val="000000"/>
          <w:sz w:val="16"/>
          <w:szCs w:val="16"/>
        </w:rPr>
        <w:t xml:space="preserve">232 </w:t>
      </w:r>
      <w:r>
        <w:rPr>
          <w:rFonts w:ascii="Arial" w:hAnsi="Arial" w:cs="Arial"/>
          <w:color w:val="000000"/>
          <w:sz w:val="16"/>
          <w:szCs w:val="16"/>
        </w:rPr>
        <w:t>228 </w:t>
      </w:r>
    </w:p>
    <w:p w14:paraId="4B08B07D" w14:textId="77777777" w:rsidR="00905824" w:rsidRDefault="00905824" w:rsidP="00905824">
      <w:pPr>
        <w:pStyle w:val="NormalWeb"/>
        <w:spacing w:before="139" w:beforeAutospacing="0" w:after="0" w:afterAutospacing="0"/>
        <w:ind w:left="720" w:right="1685"/>
      </w:pPr>
      <w:r>
        <w:rPr>
          <w:rFonts w:ascii="Arial" w:hAnsi="Arial" w:cs="Arial"/>
          <w:color w:val="000000"/>
          <w:sz w:val="16"/>
          <w:szCs w:val="16"/>
        </w:rPr>
        <w:t xml:space="preserve">Income taxes receivable </w:t>
      </w:r>
      <w:r>
        <w:rPr>
          <w:rFonts w:ascii="Arial" w:hAnsi="Arial" w:cs="Arial"/>
          <w:b/>
          <w:bCs/>
          <w:color w:val="000000"/>
          <w:sz w:val="16"/>
          <w:szCs w:val="16"/>
        </w:rPr>
        <w:t xml:space="preserve">44 </w:t>
      </w:r>
      <w:r>
        <w:rPr>
          <w:rFonts w:ascii="Arial" w:hAnsi="Arial" w:cs="Arial"/>
          <w:color w:val="000000"/>
          <w:sz w:val="16"/>
          <w:szCs w:val="16"/>
        </w:rPr>
        <w:t>261 </w:t>
      </w:r>
    </w:p>
    <w:p w14:paraId="27677BA9" w14:textId="77777777" w:rsidR="00905824" w:rsidRDefault="00905824" w:rsidP="00905824">
      <w:pPr>
        <w:pStyle w:val="NormalWeb"/>
        <w:spacing w:before="144" w:beforeAutospacing="0" w:after="0" w:afterAutospacing="0"/>
        <w:ind w:left="720" w:right="1742"/>
      </w:pPr>
      <w:r>
        <w:rPr>
          <w:rFonts w:ascii="Arial" w:hAnsi="Arial" w:cs="Arial"/>
          <w:color w:val="000000"/>
          <w:sz w:val="16"/>
          <w:szCs w:val="16"/>
        </w:rPr>
        <w:t xml:space="preserve">Other current assets </w:t>
      </w:r>
      <w:r>
        <w:rPr>
          <w:rFonts w:ascii="Arial" w:hAnsi="Arial" w:cs="Arial"/>
          <w:b/>
          <w:bCs/>
          <w:color w:val="000000"/>
          <w:sz w:val="16"/>
          <w:szCs w:val="16"/>
        </w:rPr>
        <w:t xml:space="preserve">2,551 </w:t>
      </w:r>
      <w:r>
        <w:rPr>
          <w:rFonts w:ascii="Arial" w:hAnsi="Arial" w:cs="Arial"/>
          <w:color w:val="000000"/>
          <w:sz w:val="16"/>
          <w:szCs w:val="16"/>
        </w:rPr>
        <w:t>2,510 </w:t>
      </w:r>
    </w:p>
    <w:p w14:paraId="47FFCA7A" w14:textId="77777777" w:rsidR="00905824" w:rsidRDefault="00905824" w:rsidP="00905824">
      <w:pPr>
        <w:pStyle w:val="NormalWeb"/>
        <w:spacing w:before="149" w:beforeAutospacing="0" w:after="0" w:afterAutospacing="0"/>
        <w:ind w:left="1046" w:right="1776"/>
      </w:pPr>
      <w:r>
        <w:rPr>
          <w:rFonts w:ascii="Arial" w:hAnsi="Arial" w:cs="Arial"/>
          <w:color w:val="000000"/>
          <w:sz w:val="16"/>
          <w:szCs w:val="16"/>
        </w:rPr>
        <w:t xml:space="preserve">Total current assets </w:t>
      </w:r>
      <w:r>
        <w:rPr>
          <w:rFonts w:ascii="Arial" w:hAnsi="Arial" w:cs="Arial"/>
          <w:b/>
          <w:bCs/>
          <w:color w:val="000000"/>
          <w:sz w:val="16"/>
          <w:szCs w:val="16"/>
        </w:rPr>
        <w:t xml:space="preserve">28,449 </w:t>
      </w:r>
      <w:r>
        <w:rPr>
          <w:rFonts w:ascii="Arial" w:hAnsi="Arial" w:cs="Arial"/>
          <w:color w:val="000000"/>
          <w:sz w:val="16"/>
          <w:szCs w:val="16"/>
        </w:rPr>
        <w:t>12,725 </w:t>
      </w:r>
    </w:p>
    <w:p w14:paraId="3B077A1F" w14:textId="77777777" w:rsidR="00905824" w:rsidRDefault="00905824" w:rsidP="00905824">
      <w:pPr>
        <w:pStyle w:val="NormalWeb"/>
        <w:spacing w:before="144" w:beforeAutospacing="0" w:after="0" w:afterAutospacing="0"/>
        <w:ind w:left="720" w:right="1776"/>
      </w:pPr>
      <w:r>
        <w:rPr>
          <w:rFonts w:ascii="Arial" w:hAnsi="Arial" w:cs="Arial"/>
          <w:color w:val="000000"/>
          <w:sz w:val="16"/>
          <w:szCs w:val="16"/>
        </w:rPr>
        <w:t xml:space="preserve">Long-term investments </w:t>
      </w:r>
      <w:r>
        <w:rPr>
          <w:rFonts w:ascii="Arial" w:hAnsi="Arial" w:cs="Arial"/>
          <w:b/>
          <w:bCs/>
          <w:color w:val="000000"/>
          <w:sz w:val="16"/>
          <w:szCs w:val="16"/>
        </w:rPr>
        <w:t xml:space="preserve">21,833 </w:t>
      </w:r>
      <w:r>
        <w:rPr>
          <w:rFonts w:ascii="Arial" w:hAnsi="Arial" w:cs="Arial"/>
          <w:color w:val="000000"/>
          <w:sz w:val="16"/>
          <w:szCs w:val="16"/>
        </w:rPr>
        <w:t>21,665 </w:t>
      </w:r>
    </w:p>
    <w:p w14:paraId="28E4BBE6" w14:textId="77777777" w:rsidR="00905824" w:rsidRDefault="00905824" w:rsidP="00905824">
      <w:pPr>
        <w:pStyle w:val="NormalWeb"/>
        <w:spacing w:before="139" w:beforeAutospacing="0" w:after="0" w:afterAutospacing="0"/>
        <w:ind w:left="720" w:right="1685"/>
      </w:pPr>
      <w:r>
        <w:rPr>
          <w:rFonts w:ascii="Arial" w:hAnsi="Arial" w:cs="Arial"/>
          <w:color w:val="000000"/>
          <w:sz w:val="16"/>
          <w:szCs w:val="16"/>
        </w:rPr>
        <w:t xml:space="preserve">Reinsurance </w:t>
      </w:r>
      <w:proofErr w:type="spellStart"/>
      <w:r>
        <w:rPr>
          <w:rFonts w:ascii="Arial" w:hAnsi="Arial" w:cs="Arial"/>
          <w:color w:val="000000"/>
          <w:sz w:val="16"/>
          <w:szCs w:val="16"/>
        </w:rPr>
        <w:t>recoverables</w:t>
      </w:r>
      <w:proofErr w:type="spellEnd"/>
      <w:r>
        <w:rPr>
          <w:rFonts w:ascii="Arial" w:hAnsi="Arial" w:cs="Arial"/>
          <w:color w:val="000000"/>
          <w:sz w:val="16"/>
          <w:szCs w:val="16"/>
        </w:rPr>
        <w:t xml:space="preserve"> </w:t>
      </w:r>
      <w:r>
        <w:rPr>
          <w:rFonts w:ascii="Arial" w:hAnsi="Arial" w:cs="Arial"/>
          <w:b/>
          <w:bCs/>
          <w:color w:val="000000"/>
          <w:sz w:val="16"/>
          <w:szCs w:val="16"/>
        </w:rPr>
        <w:t xml:space="preserve">727 </w:t>
      </w:r>
      <w:r>
        <w:rPr>
          <w:rFonts w:ascii="Arial" w:hAnsi="Arial" w:cs="Arial"/>
          <w:color w:val="000000"/>
          <w:sz w:val="16"/>
          <w:szCs w:val="16"/>
        </w:rPr>
        <w:t>724 </w:t>
      </w:r>
    </w:p>
    <w:p w14:paraId="6A0928B7" w14:textId="77777777" w:rsidR="00905824" w:rsidRDefault="00905824" w:rsidP="00905824">
      <w:pPr>
        <w:pStyle w:val="NormalWeb"/>
        <w:spacing w:before="144" w:beforeAutospacing="0" w:after="0" w:afterAutospacing="0"/>
        <w:ind w:left="720" w:right="1776"/>
      </w:pPr>
      <w:r>
        <w:rPr>
          <w:rFonts w:ascii="Arial" w:hAnsi="Arial" w:cs="Arial"/>
          <w:color w:val="000000"/>
          <w:sz w:val="16"/>
          <w:szCs w:val="16"/>
        </w:rPr>
        <w:t xml:space="preserve">Goodwill </w:t>
      </w:r>
      <w:r>
        <w:rPr>
          <w:rFonts w:ascii="Arial" w:hAnsi="Arial" w:cs="Arial"/>
          <w:b/>
          <w:bCs/>
          <w:color w:val="000000"/>
          <w:sz w:val="16"/>
          <w:szCs w:val="16"/>
        </w:rPr>
        <w:t xml:space="preserve">10,637 </w:t>
      </w:r>
      <w:r>
        <w:rPr>
          <w:rFonts w:ascii="Arial" w:hAnsi="Arial" w:cs="Arial"/>
          <w:color w:val="000000"/>
          <w:sz w:val="16"/>
          <w:szCs w:val="16"/>
        </w:rPr>
        <w:t>10,637 </w:t>
      </w:r>
    </w:p>
    <w:p w14:paraId="7C6BDD3A" w14:textId="77777777" w:rsidR="00905824" w:rsidRDefault="00905824" w:rsidP="00905824">
      <w:pPr>
        <w:pStyle w:val="NormalWeb"/>
        <w:spacing w:before="139" w:beforeAutospacing="0" w:after="0" w:afterAutospacing="0"/>
        <w:ind w:left="720" w:right="1742"/>
      </w:pPr>
      <w:r>
        <w:rPr>
          <w:rFonts w:ascii="Arial" w:hAnsi="Arial" w:cs="Arial"/>
          <w:color w:val="000000"/>
          <w:sz w:val="16"/>
          <w:szCs w:val="16"/>
        </w:rPr>
        <w:t xml:space="preserve">Other acquired intangible assets, net </w:t>
      </w:r>
      <w:r>
        <w:rPr>
          <w:rFonts w:ascii="Arial" w:hAnsi="Arial" w:cs="Arial"/>
          <w:b/>
          <w:bCs/>
          <w:color w:val="000000"/>
          <w:sz w:val="16"/>
          <w:szCs w:val="16"/>
        </w:rPr>
        <w:t xml:space="preserve">1,442 </w:t>
      </w:r>
      <w:r>
        <w:rPr>
          <w:rFonts w:ascii="Arial" w:hAnsi="Arial" w:cs="Arial"/>
          <w:color w:val="000000"/>
          <w:sz w:val="16"/>
          <w:szCs w:val="16"/>
        </w:rPr>
        <w:t>1,688 </w:t>
      </w:r>
    </w:p>
    <w:p w14:paraId="5112F7B9" w14:textId="77777777" w:rsidR="00905824" w:rsidRDefault="00905824" w:rsidP="00905824">
      <w:pPr>
        <w:pStyle w:val="NormalWeb"/>
        <w:spacing w:before="144" w:beforeAutospacing="0" w:after="0" w:afterAutospacing="0"/>
        <w:ind w:left="720" w:right="1685"/>
      </w:pPr>
      <w:r>
        <w:rPr>
          <w:rFonts w:ascii="Arial" w:hAnsi="Arial" w:cs="Arial"/>
          <w:color w:val="000000"/>
          <w:sz w:val="16"/>
          <w:szCs w:val="16"/>
        </w:rPr>
        <w:t xml:space="preserve">Property and equipment, net </w:t>
      </w:r>
      <w:r>
        <w:rPr>
          <w:rFonts w:ascii="Arial" w:hAnsi="Arial" w:cs="Arial"/>
          <w:b/>
          <w:bCs/>
          <w:color w:val="000000"/>
          <w:sz w:val="16"/>
          <w:szCs w:val="16"/>
        </w:rPr>
        <w:t xml:space="preserve">587 </w:t>
      </w:r>
      <w:r>
        <w:rPr>
          <w:rFonts w:ascii="Arial" w:hAnsi="Arial" w:cs="Arial"/>
          <w:color w:val="000000"/>
          <w:sz w:val="16"/>
          <w:szCs w:val="16"/>
        </w:rPr>
        <w:t>630 </w:t>
      </w:r>
    </w:p>
    <w:p w14:paraId="5FB66592" w14:textId="77777777" w:rsidR="00905824" w:rsidRDefault="00905824" w:rsidP="00905824">
      <w:pPr>
        <w:pStyle w:val="NormalWeb"/>
        <w:spacing w:before="139" w:beforeAutospacing="0" w:after="0" w:afterAutospacing="0"/>
        <w:ind w:left="720" w:right="1742"/>
      </w:pPr>
      <w:r>
        <w:rPr>
          <w:rFonts w:ascii="Arial" w:hAnsi="Arial" w:cs="Arial"/>
          <w:color w:val="000000"/>
          <w:sz w:val="16"/>
          <w:szCs w:val="16"/>
        </w:rPr>
        <w:t xml:space="preserve">Other long-term assets </w:t>
      </w:r>
      <w:r>
        <w:rPr>
          <w:rFonts w:ascii="Arial" w:hAnsi="Arial" w:cs="Arial"/>
          <w:b/>
          <w:bCs/>
          <w:color w:val="000000"/>
          <w:sz w:val="16"/>
          <w:szCs w:val="16"/>
        </w:rPr>
        <w:t xml:space="preserve">1,480 </w:t>
      </w:r>
      <w:r>
        <w:rPr>
          <w:rFonts w:ascii="Arial" w:hAnsi="Arial" w:cs="Arial"/>
          <w:color w:val="000000"/>
          <w:sz w:val="16"/>
          <w:szCs w:val="16"/>
        </w:rPr>
        <w:t>1,405 </w:t>
      </w:r>
    </w:p>
    <w:p w14:paraId="73638B6C" w14:textId="77777777" w:rsidR="00905824" w:rsidRDefault="00905824" w:rsidP="00905824">
      <w:pPr>
        <w:pStyle w:val="NormalWeb"/>
        <w:spacing w:before="144" w:beforeAutospacing="0" w:after="0" w:afterAutospacing="0"/>
        <w:ind w:left="720" w:right="1742"/>
      </w:pPr>
      <w:r>
        <w:rPr>
          <w:rFonts w:ascii="Arial" w:hAnsi="Arial" w:cs="Arial"/>
          <w:color w:val="000000"/>
          <w:sz w:val="16"/>
          <w:szCs w:val="16"/>
        </w:rPr>
        <w:t xml:space="preserve">Separate Accounts assets </w:t>
      </w:r>
      <w:r>
        <w:rPr>
          <w:rFonts w:ascii="Arial" w:hAnsi="Arial" w:cs="Arial"/>
          <w:b/>
          <w:bCs/>
          <w:color w:val="000000"/>
          <w:sz w:val="16"/>
          <w:szCs w:val="16"/>
        </w:rPr>
        <w:t xml:space="preserve">3,991 </w:t>
      </w:r>
      <w:r>
        <w:rPr>
          <w:rFonts w:ascii="Arial" w:hAnsi="Arial" w:cs="Arial"/>
          <w:color w:val="000000"/>
          <w:sz w:val="16"/>
          <w:szCs w:val="16"/>
        </w:rPr>
        <w:t>4,035 </w:t>
      </w:r>
    </w:p>
    <w:p w14:paraId="4CE891F7" w14:textId="77777777" w:rsidR="00905824" w:rsidRDefault="00905824" w:rsidP="00905824">
      <w:pPr>
        <w:pStyle w:val="NormalWeb"/>
        <w:spacing w:before="154" w:beforeAutospacing="0" w:after="0" w:afterAutospacing="0"/>
        <w:ind w:left="1046" w:right="1776"/>
      </w:pPr>
      <w:r>
        <w:rPr>
          <w:rFonts w:ascii="Arial" w:hAnsi="Arial" w:cs="Arial"/>
          <w:color w:val="000000"/>
          <w:sz w:val="16"/>
          <w:szCs w:val="16"/>
        </w:rPr>
        <w:t xml:space="preserve">Total non-current assets </w:t>
      </w:r>
      <w:r>
        <w:rPr>
          <w:rFonts w:ascii="Arial" w:hAnsi="Arial" w:cs="Arial"/>
          <w:b/>
          <w:bCs/>
          <w:color w:val="000000"/>
          <w:sz w:val="16"/>
          <w:szCs w:val="16"/>
        </w:rPr>
        <w:t xml:space="preserve">40,697 </w:t>
      </w:r>
      <w:r>
        <w:rPr>
          <w:rFonts w:ascii="Arial" w:hAnsi="Arial" w:cs="Arial"/>
          <w:color w:val="000000"/>
          <w:sz w:val="16"/>
          <w:szCs w:val="16"/>
        </w:rPr>
        <w:t>40,784 </w:t>
      </w:r>
    </w:p>
    <w:p w14:paraId="11348195" w14:textId="77777777" w:rsidR="00905824" w:rsidRDefault="00905824" w:rsidP="00905824">
      <w:pPr>
        <w:pStyle w:val="NormalWeb"/>
        <w:spacing w:before="168" w:beforeAutospacing="0" w:after="0" w:afterAutospacing="0"/>
        <w:ind w:left="1262" w:right="1800"/>
      </w:pPr>
      <w:r>
        <w:rPr>
          <w:rFonts w:ascii="Arial" w:hAnsi="Arial" w:cs="Arial"/>
          <w:color w:val="000000"/>
          <w:sz w:val="16"/>
          <w:szCs w:val="16"/>
        </w:rPr>
        <w:t xml:space="preserve">Total assets </w:t>
      </w:r>
      <w:r>
        <w:rPr>
          <w:rFonts w:ascii="Arial" w:hAnsi="Arial" w:cs="Arial"/>
          <w:b/>
          <w:bCs/>
          <w:color w:val="000000"/>
          <w:sz w:val="16"/>
          <w:szCs w:val="16"/>
        </w:rPr>
        <w:t xml:space="preserve">$ 69,146 </w:t>
      </w:r>
      <w:r>
        <w:rPr>
          <w:rFonts w:ascii="Arial" w:hAnsi="Arial" w:cs="Arial"/>
          <w:color w:val="000000"/>
          <w:sz w:val="16"/>
          <w:szCs w:val="16"/>
        </w:rPr>
        <w:t>$ 53,509 </w:t>
      </w:r>
    </w:p>
    <w:p w14:paraId="265BE43B" w14:textId="77777777" w:rsidR="00905824" w:rsidRDefault="00905824" w:rsidP="00905824">
      <w:pPr>
        <w:pStyle w:val="NormalWeb"/>
        <w:spacing w:before="763" w:beforeAutospacing="0" w:after="0" w:afterAutospacing="0"/>
        <w:ind w:left="470" w:right="7901"/>
      </w:pPr>
      <w:r>
        <w:rPr>
          <w:rFonts w:ascii="Arial" w:hAnsi="Arial" w:cs="Arial"/>
          <w:color w:val="000000"/>
          <w:sz w:val="16"/>
          <w:szCs w:val="16"/>
        </w:rPr>
        <w:t>Liabilities: </w:t>
      </w:r>
    </w:p>
    <w:p w14:paraId="2E4F80A1" w14:textId="77777777" w:rsidR="00905824" w:rsidRDefault="00905824" w:rsidP="00905824">
      <w:pPr>
        <w:pStyle w:val="NormalWeb"/>
        <w:spacing w:before="144" w:beforeAutospacing="0" w:after="0" w:afterAutospacing="0"/>
        <w:ind w:left="720" w:right="1776"/>
      </w:pPr>
      <w:r>
        <w:rPr>
          <w:rFonts w:ascii="Arial" w:hAnsi="Arial" w:cs="Arial"/>
          <w:color w:val="000000"/>
          <w:sz w:val="16"/>
          <w:szCs w:val="16"/>
        </w:rPr>
        <w:t xml:space="preserve">Health care costs payable </w:t>
      </w:r>
      <w:r>
        <w:rPr>
          <w:rFonts w:ascii="Arial" w:hAnsi="Arial" w:cs="Arial"/>
          <w:b/>
          <w:bCs/>
          <w:color w:val="000000"/>
          <w:sz w:val="16"/>
          <w:szCs w:val="16"/>
        </w:rPr>
        <w:t xml:space="preserve">$ 6,558 </w:t>
      </w:r>
      <w:r>
        <w:rPr>
          <w:rFonts w:ascii="Arial" w:hAnsi="Arial" w:cs="Arial"/>
          <w:color w:val="000000"/>
          <w:sz w:val="16"/>
          <w:szCs w:val="16"/>
        </w:rPr>
        <w:t>$ 6,306 </w:t>
      </w:r>
    </w:p>
    <w:p w14:paraId="3B06681F" w14:textId="77777777" w:rsidR="00905824" w:rsidRDefault="00905824" w:rsidP="00905824">
      <w:pPr>
        <w:pStyle w:val="NormalWeb"/>
        <w:spacing w:before="139" w:beforeAutospacing="0" w:after="0" w:afterAutospacing="0"/>
        <w:ind w:left="720" w:right="1685"/>
      </w:pPr>
      <w:r>
        <w:rPr>
          <w:rFonts w:ascii="Arial" w:hAnsi="Arial" w:cs="Arial"/>
          <w:color w:val="000000"/>
          <w:sz w:val="16"/>
          <w:szCs w:val="16"/>
        </w:rPr>
        <w:t xml:space="preserve">Future policy benefits </w:t>
      </w:r>
      <w:r>
        <w:rPr>
          <w:rFonts w:ascii="Arial" w:hAnsi="Arial" w:cs="Arial"/>
          <w:b/>
          <w:bCs/>
          <w:color w:val="000000"/>
          <w:sz w:val="16"/>
          <w:szCs w:val="16"/>
        </w:rPr>
        <w:t xml:space="preserve">645 </w:t>
      </w:r>
      <w:r>
        <w:rPr>
          <w:rFonts w:ascii="Arial" w:hAnsi="Arial" w:cs="Arial"/>
          <w:color w:val="000000"/>
          <w:sz w:val="16"/>
          <w:szCs w:val="16"/>
        </w:rPr>
        <w:t>672 </w:t>
      </w:r>
    </w:p>
    <w:p w14:paraId="7FD5399C" w14:textId="77777777" w:rsidR="00905824" w:rsidRDefault="00905824" w:rsidP="00905824">
      <w:pPr>
        <w:pStyle w:val="NormalWeb"/>
        <w:spacing w:before="144" w:beforeAutospacing="0" w:after="0" w:afterAutospacing="0"/>
        <w:ind w:left="720" w:right="1685"/>
      </w:pPr>
      <w:r>
        <w:rPr>
          <w:rFonts w:ascii="Arial" w:hAnsi="Arial" w:cs="Arial"/>
          <w:color w:val="000000"/>
          <w:sz w:val="16"/>
          <w:szCs w:val="16"/>
        </w:rPr>
        <w:t xml:space="preserve">Unpaid claims </w:t>
      </w:r>
      <w:r>
        <w:rPr>
          <w:rFonts w:ascii="Arial" w:hAnsi="Arial" w:cs="Arial"/>
          <w:b/>
          <w:bCs/>
          <w:color w:val="000000"/>
          <w:sz w:val="16"/>
          <w:szCs w:val="16"/>
        </w:rPr>
        <w:t xml:space="preserve">801 </w:t>
      </w:r>
      <w:r>
        <w:rPr>
          <w:rFonts w:ascii="Arial" w:hAnsi="Arial" w:cs="Arial"/>
          <w:color w:val="000000"/>
          <w:sz w:val="16"/>
          <w:szCs w:val="16"/>
        </w:rPr>
        <w:t>772 </w:t>
      </w:r>
    </w:p>
    <w:p w14:paraId="32101966" w14:textId="77777777" w:rsidR="00905824" w:rsidRDefault="00905824" w:rsidP="00905824">
      <w:pPr>
        <w:pStyle w:val="NormalWeb"/>
        <w:spacing w:before="139" w:beforeAutospacing="0" w:after="0" w:afterAutospacing="0"/>
        <w:ind w:left="720" w:right="1685"/>
      </w:pPr>
      <w:r>
        <w:rPr>
          <w:rFonts w:ascii="Arial" w:hAnsi="Arial" w:cs="Arial"/>
          <w:color w:val="000000"/>
          <w:sz w:val="16"/>
          <w:szCs w:val="16"/>
        </w:rPr>
        <w:t xml:space="preserve">Unearned premiums </w:t>
      </w:r>
      <w:r>
        <w:rPr>
          <w:rFonts w:ascii="Arial" w:hAnsi="Arial" w:cs="Arial"/>
          <w:b/>
          <w:bCs/>
          <w:color w:val="000000"/>
          <w:sz w:val="16"/>
          <w:szCs w:val="16"/>
        </w:rPr>
        <w:t xml:space="preserve">556 </w:t>
      </w:r>
      <w:r>
        <w:rPr>
          <w:rFonts w:ascii="Arial" w:hAnsi="Arial" w:cs="Arial"/>
          <w:color w:val="000000"/>
          <w:sz w:val="16"/>
          <w:szCs w:val="16"/>
        </w:rPr>
        <w:t>676 </w:t>
      </w:r>
    </w:p>
    <w:p w14:paraId="2EAB1E1F" w14:textId="77777777" w:rsidR="00905824" w:rsidRDefault="00905824" w:rsidP="00905824">
      <w:pPr>
        <w:pStyle w:val="NormalWeb"/>
        <w:spacing w:before="144" w:beforeAutospacing="0" w:after="0" w:afterAutospacing="0"/>
        <w:ind w:left="720" w:right="1742"/>
      </w:pPr>
      <w:r>
        <w:rPr>
          <w:rFonts w:ascii="Arial" w:hAnsi="Arial" w:cs="Arial"/>
          <w:color w:val="000000"/>
          <w:sz w:val="16"/>
          <w:szCs w:val="16"/>
        </w:rPr>
        <w:t xml:space="preserve">Policyholder's funds </w:t>
      </w:r>
      <w:r>
        <w:rPr>
          <w:rFonts w:ascii="Arial" w:hAnsi="Arial" w:cs="Arial"/>
          <w:b/>
          <w:bCs/>
          <w:color w:val="000000"/>
          <w:sz w:val="16"/>
          <w:szCs w:val="16"/>
        </w:rPr>
        <w:t xml:space="preserve">2,772 </w:t>
      </w:r>
      <w:r>
        <w:rPr>
          <w:rFonts w:ascii="Arial" w:hAnsi="Arial" w:cs="Arial"/>
          <w:color w:val="000000"/>
          <w:sz w:val="16"/>
          <w:szCs w:val="16"/>
        </w:rPr>
        <w:t>2,263 </w:t>
      </w:r>
    </w:p>
    <w:p w14:paraId="75AF4A59" w14:textId="77777777" w:rsidR="00905824" w:rsidRDefault="00905824" w:rsidP="00905824">
      <w:pPr>
        <w:pStyle w:val="NormalWeb"/>
        <w:spacing w:before="139" w:beforeAutospacing="0" w:after="0" w:afterAutospacing="0"/>
        <w:ind w:left="720" w:right="1704"/>
      </w:pPr>
      <w:r>
        <w:rPr>
          <w:rFonts w:ascii="Arial" w:hAnsi="Arial" w:cs="Arial"/>
          <w:color w:val="000000"/>
          <w:sz w:val="16"/>
          <w:szCs w:val="16"/>
        </w:rPr>
        <w:t xml:space="preserve">Current portion of long-term debt </w:t>
      </w:r>
      <w:r>
        <w:rPr>
          <w:rFonts w:ascii="Arial" w:hAnsi="Arial" w:cs="Arial"/>
          <w:b/>
          <w:bCs/>
          <w:color w:val="000000"/>
          <w:sz w:val="16"/>
          <w:szCs w:val="16"/>
        </w:rPr>
        <w:t xml:space="preserve">1,634 </w:t>
      </w:r>
      <w:r>
        <w:rPr>
          <w:rFonts w:ascii="Arial" w:hAnsi="Arial" w:cs="Arial"/>
          <w:color w:val="000000"/>
          <w:sz w:val="16"/>
          <w:szCs w:val="16"/>
        </w:rPr>
        <w:t>- </w:t>
      </w:r>
    </w:p>
    <w:p w14:paraId="60C43649" w14:textId="77777777" w:rsidR="00905824" w:rsidRDefault="00905824" w:rsidP="00905824">
      <w:pPr>
        <w:pStyle w:val="NormalWeb"/>
        <w:spacing w:before="144" w:beforeAutospacing="0" w:after="0" w:afterAutospacing="0"/>
        <w:ind w:left="720" w:right="1742"/>
      </w:pPr>
      <w:r>
        <w:rPr>
          <w:rFonts w:ascii="Arial" w:hAnsi="Arial" w:cs="Arial"/>
          <w:color w:val="000000"/>
          <w:sz w:val="16"/>
          <w:szCs w:val="16"/>
        </w:rPr>
        <w:t xml:space="preserve">Accrued expenses and other current liabilities </w:t>
      </w:r>
      <w:r>
        <w:rPr>
          <w:rFonts w:ascii="Arial" w:hAnsi="Arial" w:cs="Arial"/>
          <w:b/>
          <w:bCs/>
          <w:color w:val="000000"/>
          <w:sz w:val="16"/>
          <w:szCs w:val="16"/>
        </w:rPr>
        <w:t xml:space="preserve">5,728 </w:t>
      </w:r>
      <w:r>
        <w:rPr>
          <w:rFonts w:ascii="Arial" w:hAnsi="Arial" w:cs="Arial"/>
          <w:color w:val="000000"/>
          <w:sz w:val="16"/>
          <w:szCs w:val="16"/>
        </w:rPr>
        <w:t>4,920 </w:t>
      </w:r>
    </w:p>
    <w:p w14:paraId="62637565" w14:textId="77777777" w:rsidR="00905824" w:rsidRDefault="00905824" w:rsidP="00905824">
      <w:pPr>
        <w:pStyle w:val="NormalWeb"/>
        <w:spacing w:before="149" w:beforeAutospacing="0" w:after="0" w:afterAutospacing="0"/>
        <w:ind w:left="1046" w:right="1776"/>
      </w:pPr>
      <w:r>
        <w:rPr>
          <w:rFonts w:ascii="Arial" w:hAnsi="Arial" w:cs="Arial"/>
          <w:color w:val="000000"/>
          <w:sz w:val="16"/>
          <w:szCs w:val="16"/>
        </w:rPr>
        <w:t xml:space="preserve">Total current liabilities </w:t>
      </w:r>
      <w:r>
        <w:rPr>
          <w:rFonts w:ascii="Arial" w:hAnsi="Arial" w:cs="Arial"/>
          <w:b/>
          <w:bCs/>
          <w:color w:val="000000"/>
          <w:sz w:val="16"/>
          <w:szCs w:val="16"/>
        </w:rPr>
        <w:t xml:space="preserve">18,694 </w:t>
      </w:r>
      <w:r>
        <w:rPr>
          <w:rFonts w:ascii="Arial" w:hAnsi="Arial" w:cs="Arial"/>
          <w:color w:val="000000"/>
          <w:sz w:val="16"/>
          <w:szCs w:val="16"/>
        </w:rPr>
        <w:t>15,609 </w:t>
      </w:r>
    </w:p>
    <w:p w14:paraId="1C9B8C98" w14:textId="77777777" w:rsidR="00905824" w:rsidRDefault="00905824" w:rsidP="00905824">
      <w:pPr>
        <w:pStyle w:val="NormalWeb"/>
        <w:spacing w:before="144" w:beforeAutospacing="0" w:after="0" w:afterAutospacing="0"/>
        <w:ind w:left="758" w:right="1742"/>
      </w:pPr>
      <w:r>
        <w:rPr>
          <w:rFonts w:ascii="Arial" w:hAnsi="Arial" w:cs="Arial"/>
          <w:color w:val="000000"/>
          <w:sz w:val="16"/>
          <w:szCs w:val="16"/>
        </w:rPr>
        <w:lastRenderedPageBreak/>
        <w:t xml:space="preserve">Future policy benefits </w:t>
      </w:r>
      <w:r>
        <w:rPr>
          <w:rFonts w:ascii="Arial" w:hAnsi="Arial" w:cs="Arial"/>
          <w:b/>
          <w:bCs/>
          <w:color w:val="000000"/>
          <w:sz w:val="16"/>
          <w:szCs w:val="16"/>
        </w:rPr>
        <w:t xml:space="preserve">5,929 </w:t>
      </w:r>
      <w:r>
        <w:rPr>
          <w:rFonts w:ascii="Arial" w:hAnsi="Arial" w:cs="Arial"/>
          <w:color w:val="000000"/>
          <w:sz w:val="16"/>
          <w:szCs w:val="16"/>
        </w:rPr>
        <w:t>6,268 </w:t>
      </w:r>
    </w:p>
    <w:p w14:paraId="166D6216" w14:textId="77777777" w:rsidR="00905824" w:rsidRDefault="00905824" w:rsidP="00905824">
      <w:pPr>
        <w:pStyle w:val="NormalWeb"/>
        <w:spacing w:before="139" w:beforeAutospacing="0" w:after="0" w:afterAutospacing="0"/>
        <w:ind w:left="720" w:right="1742"/>
      </w:pPr>
      <w:r>
        <w:rPr>
          <w:rFonts w:ascii="Arial" w:hAnsi="Arial" w:cs="Arial"/>
          <w:color w:val="000000"/>
          <w:sz w:val="16"/>
          <w:szCs w:val="16"/>
        </w:rPr>
        <w:t xml:space="preserve">Unpaid claims </w:t>
      </w:r>
      <w:r>
        <w:rPr>
          <w:rFonts w:ascii="Arial" w:hAnsi="Arial" w:cs="Arial"/>
          <w:b/>
          <w:bCs/>
          <w:color w:val="000000"/>
          <w:sz w:val="16"/>
          <w:szCs w:val="16"/>
        </w:rPr>
        <w:t xml:space="preserve">1,703 </w:t>
      </w:r>
      <w:r>
        <w:rPr>
          <w:rFonts w:ascii="Arial" w:hAnsi="Arial" w:cs="Arial"/>
          <w:color w:val="000000"/>
          <w:sz w:val="16"/>
          <w:szCs w:val="16"/>
        </w:rPr>
        <w:t>1,656 </w:t>
      </w:r>
    </w:p>
    <w:p w14:paraId="7D58A8AD" w14:textId="77777777" w:rsidR="00905824" w:rsidRDefault="00905824" w:rsidP="00905824">
      <w:pPr>
        <w:pStyle w:val="NormalWeb"/>
        <w:spacing w:before="144" w:beforeAutospacing="0" w:after="0" w:afterAutospacing="0"/>
        <w:ind w:left="720" w:right="1685"/>
      </w:pPr>
      <w:r>
        <w:rPr>
          <w:rFonts w:ascii="Arial" w:hAnsi="Arial" w:cs="Arial"/>
          <w:color w:val="000000"/>
          <w:sz w:val="16"/>
          <w:szCs w:val="16"/>
        </w:rPr>
        <w:t xml:space="preserve">Policyholder's funds </w:t>
      </w:r>
      <w:r>
        <w:rPr>
          <w:rFonts w:ascii="Arial" w:hAnsi="Arial" w:cs="Arial"/>
          <w:b/>
          <w:bCs/>
          <w:color w:val="000000"/>
          <w:sz w:val="16"/>
          <w:szCs w:val="16"/>
        </w:rPr>
        <w:t xml:space="preserve">812 </w:t>
      </w:r>
      <w:r>
        <w:rPr>
          <w:rFonts w:ascii="Arial" w:hAnsi="Arial" w:cs="Arial"/>
          <w:color w:val="000000"/>
          <w:sz w:val="16"/>
          <w:szCs w:val="16"/>
        </w:rPr>
        <w:t>886 </w:t>
      </w:r>
    </w:p>
    <w:p w14:paraId="4D4BE803" w14:textId="77777777" w:rsidR="00905824" w:rsidRDefault="00905824" w:rsidP="00905824">
      <w:pPr>
        <w:pStyle w:val="NormalWeb"/>
        <w:spacing w:before="139" w:beforeAutospacing="0" w:after="0" w:afterAutospacing="0"/>
        <w:ind w:left="720" w:right="1742"/>
      </w:pPr>
      <w:r>
        <w:rPr>
          <w:rFonts w:ascii="Arial" w:hAnsi="Arial" w:cs="Arial"/>
          <w:color w:val="000000"/>
          <w:sz w:val="16"/>
          <w:szCs w:val="16"/>
        </w:rPr>
        <w:t xml:space="preserve">Long-term debt, less current portion </w:t>
      </w:r>
      <w:r>
        <w:rPr>
          <w:rFonts w:ascii="Arial" w:hAnsi="Arial" w:cs="Arial"/>
          <w:b/>
          <w:bCs/>
          <w:color w:val="000000"/>
          <w:sz w:val="16"/>
          <w:szCs w:val="16"/>
        </w:rPr>
        <w:t xml:space="preserve">19,027 </w:t>
      </w:r>
      <w:r>
        <w:rPr>
          <w:rFonts w:ascii="Arial" w:hAnsi="Arial" w:cs="Arial"/>
          <w:color w:val="000000"/>
          <w:sz w:val="16"/>
          <w:szCs w:val="16"/>
        </w:rPr>
        <w:t>7,785 </w:t>
      </w:r>
    </w:p>
    <w:p w14:paraId="74109BF8" w14:textId="77777777" w:rsidR="00905824" w:rsidRDefault="00905824" w:rsidP="00905824">
      <w:pPr>
        <w:pStyle w:val="NormalWeb"/>
        <w:spacing w:before="144" w:beforeAutospacing="0" w:after="0" w:afterAutospacing="0"/>
        <w:ind w:left="720" w:right="1685"/>
      </w:pPr>
      <w:r>
        <w:rPr>
          <w:rFonts w:ascii="Arial" w:hAnsi="Arial" w:cs="Arial"/>
          <w:color w:val="000000"/>
          <w:sz w:val="16"/>
          <w:szCs w:val="16"/>
        </w:rPr>
        <w:t xml:space="preserve">Deferred income taxes </w:t>
      </w:r>
      <w:r>
        <w:rPr>
          <w:rFonts w:ascii="Arial" w:hAnsi="Arial" w:cs="Arial"/>
          <w:b/>
          <w:bCs/>
          <w:color w:val="000000"/>
          <w:sz w:val="16"/>
          <w:szCs w:val="16"/>
        </w:rPr>
        <w:t xml:space="preserve">4 </w:t>
      </w:r>
      <w:r>
        <w:rPr>
          <w:rFonts w:ascii="Arial" w:hAnsi="Arial" w:cs="Arial"/>
          <w:color w:val="000000"/>
          <w:sz w:val="16"/>
          <w:szCs w:val="16"/>
        </w:rPr>
        <w:t>177 </w:t>
      </w:r>
    </w:p>
    <w:p w14:paraId="3C3C73FA" w14:textId="77777777" w:rsidR="00905824" w:rsidRDefault="00905824" w:rsidP="00905824">
      <w:pPr>
        <w:pStyle w:val="NormalWeb"/>
        <w:spacing w:before="139" w:beforeAutospacing="0" w:after="0" w:afterAutospacing="0"/>
        <w:ind w:left="720" w:right="1685"/>
      </w:pPr>
      <w:r>
        <w:rPr>
          <w:rFonts w:ascii="Arial" w:hAnsi="Arial" w:cs="Arial"/>
          <w:color w:val="000000"/>
          <w:sz w:val="16"/>
          <w:szCs w:val="16"/>
        </w:rPr>
        <w:t xml:space="preserve">Other long-term liabilities </w:t>
      </w:r>
      <w:r>
        <w:rPr>
          <w:rFonts w:ascii="Arial" w:hAnsi="Arial" w:cs="Arial"/>
          <w:b/>
          <w:bCs/>
          <w:color w:val="000000"/>
          <w:sz w:val="16"/>
          <w:szCs w:val="16"/>
        </w:rPr>
        <w:t xml:space="preserve">1,043 </w:t>
      </w:r>
      <w:r>
        <w:rPr>
          <w:rFonts w:ascii="Arial" w:hAnsi="Arial" w:cs="Arial"/>
          <w:color w:val="000000"/>
          <w:sz w:val="16"/>
          <w:szCs w:val="16"/>
        </w:rPr>
        <w:t>914 </w:t>
      </w:r>
    </w:p>
    <w:p w14:paraId="763A1376" w14:textId="77777777" w:rsidR="00905824" w:rsidRDefault="00905824" w:rsidP="00905824">
      <w:pPr>
        <w:pStyle w:val="NormalWeb"/>
        <w:spacing w:before="734" w:beforeAutospacing="0" w:after="0" w:afterAutospacing="0"/>
        <w:ind w:left="4392" w:right="4387"/>
      </w:pPr>
      <w:r>
        <w:rPr>
          <w:rFonts w:ascii="Arial" w:hAnsi="Arial" w:cs="Arial"/>
          <w:color w:val="000000"/>
        </w:rPr>
        <w:t>14 </w:t>
      </w:r>
    </w:p>
    <w:p w14:paraId="2D09874F" w14:textId="77777777" w:rsidR="00905824" w:rsidRDefault="00905824" w:rsidP="00905824">
      <w:pPr>
        <w:pStyle w:val="NormalWeb"/>
        <w:spacing w:before="96" w:beforeAutospacing="0" w:after="0" w:afterAutospacing="0"/>
        <w:ind w:left="720" w:right="1742"/>
      </w:pPr>
      <w:r>
        <w:rPr>
          <w:rFonts w:ascii="Arial" w:hAnsi="Arial" w:cs="Arial"/>
          <w:color w:val="000000"/>
          <w:sz w:val="16"/>
          <w:szCs w:val="16"/>
        </w:rPr>
        <w:t xml:space="preserve">Separate Accounts liabilities </w:t>
      </w:r>
      <w:r>
        <w:rPr>
          <w:rFonts w:ascii="Arial" w:hAnsi="Arial" w:cs="Arial"/>
          <w:b/>
          <w:bCs/>
          <w:color w:val="000000"/>
          <w:sz w:val="16"/>
          <w:szCs w:val="16"/>
        </w:rPr>
        <w:t xml:space="preserve">3,991 </w:t>
      </w:r>
      <w:r>
        <w:rPr>
          <w:rFonts w:ascii="Arial" w:hAnsi="Arial" w:cs="Arial"/>
          <w:color w:val="000000"/>
          <w:sz w:val="16"/>
          <w:szCs w:val="16"/>
        </w:rPr>
        <w:t>4,035 </w:t>
      </w:r>
    </w:p>
    <w:p w14:paraId="6198BBD6" w14:textId="77777777" w:rsidR="00905824" w:rsidRDefault="00905824" w:rsidP="00905824">
      <w:pPr>
        <w:pStyle w:val="NormalWeb"/>
        <w:spacing w:before="154" w:beforeAutospacing="0" w:after="0" w:afterAutospacing="0"/>
        <w:ind w:left="1046" w:right="1776"/>
      </w:pPr>
      <w:r>
        <w:rPr>
          <w:rFonts w:ascii="Arial" w:hAnsi="Arial" w:cs="Arial"/>
          <w:color w:val="000000"/>
          <w:sz w:val="16"/>
          <w:szCs w:val="16"/>
        </w:rPr>
        <w:t xml:space="preserve">Total long-term liabilities </w:t>
      </w:r>
      <w:r>
        <w:rPr>
          <w:rFonts w:ascii="Arial" w:hAnsi="Arial" w:cs="Arial"/>
          <w:b/>
          <w:bCs/>
          <w:color w:val="000000"/>
          <w:sz w:val="16"/>
          <w:szCs w:val="16"/>
        </w:rPr>
        <w:t xml:space="preserve">32,509 </w:t>
      </w:r>
      <w:r>
        <w:rPr>
          <w:rFonts w:ascii="Arial" w:hAnsi="Arial" w:cs="Arial"/>
          <w:color w:val="000000"/>
          <w:sz w:val="16"/>
          <w:szCs w:val="16"/>
        </w:rPr>
        <w:t>21,721 </w:t>
      </w:r>
    </w:p>
    <w:p w14:paraId="3B6AEE4A" w14:textId="77777777" w:rsidR="00905824" w:rsidRDefault="00905824" w:rsidP="00905824">
      <w:pPr>
        <w:pStyle w:val="NormalWeb"/>
        <w:spacing w:before="168" w:beforeAutospacing="0" w:after="0" w:afterAutospacing="0"/>
        <w:ind w:left="1262" w:right="1800"/>
      </w:pPr>
      <w:r>
        <w:rPr>
          <w:rFonts w:ascii="Arial" w:hAnsi="Arial" w:cs="Arial"/>
          <w:color w:val="000000"/>
          <w:sz w:val="16"/>
          <w:szCs w:val="16"/>
        </w:rPr>
        <w:t xml:space="preserve">Total liabilities </w:t>
      </w:r>
      <w:r>
        <w:rPr>
          <w:rFonts w:ascii="Arial" w:hAnsi="Arial" w:cs="Arial"/>
          <w:b/>
          <w:bCs/>
          <w:color w:val="000000"/>
          <w:sz w:val="16"/>
          <w:szCs w:val="16"/>
        </w:rPr>
        <w:t xml:space="preserve">$ 51,203 </w:t>
      </w:r>
      <w:r>
        <w:rPr>
          <w:rFonts w:ascii="Arial" w:hAnsi="Arial" w:cs="Arial"/>
          <w:color w:val="000000"/>
          <w:sz w:val="16"/>
          <w:szCs w:val="16"/>
        </w:rPr>
        <w:t>$ 37,330 </w:t>
      </w:r>
    </w:p>
    <w:p w14:paraId="104455CB" w14:textId="77777777" w:rsidR="00905824" w:rsidRDefault="00905824" w:rsidP="00905824">
      <w:pPr>
        <w:pStyle w:val="NormalWeb"/>
        <w:spacing w:before="326" w:beforeAutospacing="0" w:after="0" w:afterAutospacing="0"/>
        <w:ind w:left="360" w:right="7776"/>
      </w:pPr>
      <w:r>
        <w:rPr>
          <w:rFonts w:ascii="Arial" w:hAnsi="Arial" w:cs="Arial"/>
          <w:color w:val="000000"/>
        </w:rPr>
        <w:t>Exhibit 7 </w:t>
      </w:r>
    </w:p>
    <w:p w14:paraId="289BF61C" w14:textId="77777777" w:rsidR="00905824" w:rsidRDefault="00905824" w:rsidP="00905824">
      <w:pPr>
        <w:pStyle w:val="NormalWeb"/>
        <w:spacing w:before="317" w:beforeAutospacing="0" w:after="0" w:afterAutospacing="0"/>
        <w:ind w:left="3581" w:right="3576"/>
        <w:jc w:val="center"/>
      </w:pPr>
      <w:r>
        <w:rPr>
          <w:rFonts w:ascii="Arial" w:hAnsi="Arial" w:cs="Arial"/>
          <w:b/>
          <w:bCs/>
          <w:color w:val="000000"/>
        </w:rPr>
        <w:t>Aetna Income Statement </w:t>
      </w:r>
    </w:p>
    <w:p w14:paraId="023D4DD8" w14:textId="77777777" w:rsidR="00905824" w:rsidRDefault="00905824" w:rsidP="00905824">
      <w:pPr>
        <w:pStyle w:val="NormalWeb"/>
        <w:spacing w:before="422" w:beforeAutospacing="0" w:after="0" w:afterAutospacing="0"/>
        <w:ind w:left="5803" w:right="1387"/>
      </w:pPr>
      <w:r>
        <w:rPr>
          <w:rFonts w:ascii="Arial" w:hAnsi="Arial" w:cs="Arial"/>
          <w:color w:val="000000"/>
          <w:sz w:val="16"/>
          <w:szCs w:val="16"/>
        </w:rPr>
        <w:t>YEAR ENDED DECEMBER 31, </w:t>
      </w:r>
    </w:p>
    <w:p w14:paraId="04DFF764" w14:textId="77777777" w:rsidR="00905824" w:rsidRDefault="00905824" w:rsidP="00905824">
      <w:pPr>
        <w:pStyle w:val="NormalWeb"/>
        <w:spacing w:before="163" w:beforeAutospacing="0" w:after="0" w:afterAutospacing="0"/>
        <w:ind w:left="470" w:right="797"/>
      </w:pPr>
      <w:r>
        <w:rPr>
          <w:rFonts w:ascii="Arial" w:hAnsi="Arial" w:cs="Arial"/>
          <w:color w:val="000000"/>
          <w:sz w:val="16"/>
          <w:szCs w:val="16"/>
        </w:rPr>
        <w:t>IN MILLIONS, EXCEPT PER SHARE AMOUNTS 2016 2015 </w:t>
      </w:r>
    </w:p>
    <w:p w14:paraId="1F227958" w14:textId="77777777" w:rsidR="00905824" w:rsidRDefault="00905824" w:rsidP="00905824">
      <w:pPr>
        <w:pStyle w:val="NormalWeb"/>
        <w:spacing w:before="158" w:beforeAutospacing="0" w:after="0" w:afterAutospacing="0"/>
        <w:ind w:left="470" w:right="7939"/>
      </w:pPr>
      <w:r>
        <w:rPr>
          <w:rFonts w:ascii="Arial" w:hAnsi="Arial" w:cs="Arial"/>
          <w:color w:val="000000"/>
          <w:sz w:val="16"/>
          <w:szCs w:val="16"/>
        </w:rPr>
        <w:t>Revenue: </w:t>
      </w:r>
    </w:p>
    <w:p w14:paraId="0895F06A" w14:textId="77777777" w:rsidR="00905824" w:rsidRDefault="00905824" w:rsidP="00905824">
      <w:pPr>
        <w:pStyle w:val="NormalWeb"/>
        <w:spacing w:before="144" w:beforeAutospacing="0" w:after="0" w:afterAutospacing="0"/>
        <w:ind w:left="542" w:right="1219"/>
      </w:pPr>
      <w:r>
        <w:rPr>
          <w:rFonts w:ascii="Arial" w:hAnsi="Arial" w:cs="Arial"/>
          <w:color w:val="000000"/>
          <w:sz w:val="16"/>
          <w:szCs w:val="16"/>
        </w:rPr>
        <w:t xml:space="preserve">Health care premiums </w:t>
      </w:r>
      <w:r>
        <w:rPr>
          <w:rFonts w:ascii="Arial" w:hAnsi="Arial" w:cs="Arial"/>
          <w:b/>
          <w:bCs/>
          <w:color w:val="000000"/>
          <w:sz w:val="16"/>
          <w:szCs w:val="16"/>
        </w:rPr>
        <w:t xml:space="preserve">$ 54,116 </w:t>
      </w:r>
      <w:r>
        <w:rPr>
          <w:rFonts w:ascii="Arial" w:hAnsi="Arial" w:cs="Arial"/>
          <w:color w:val="000000"/>
          <w:sz w:val="16"/>
          <w:szCs w:val="16"/>
        </w:rPr>
        <w:t>$ 51,618 </w:t>
      </w:r>
    </w:p>
    <w:p w14:paraId="7B34D9B9" w14:textId="77777777" w:rsidR="00905824" w:rsidRDefault="00905824" w:rsidP="00905824">
      <w:pPr>
        <w:pStyle w:val="NormalWeb"/>
        <w:spacing w:before="139" w:beforeAutospacing="0" w:after="0" w:afterAutospacing="0"/>
        <w:ind w:left="542" w:right="1166"/>
      </w:pPr>
      <w:r>
        <w:rPr>
          <w:rFonts w:ascii="Arial" w:hAnsi="Arial" w:cs="Arial"/>
          <w:color w:val="000000"/>
          <w:sz w:val="16"/>
          <w:szCs w:val="16"/>
        </w:rPr>
        <w:t xml:space="preserve">Other premiums </w:t>
      </w:r>
      <w:r>
        <w:rPr>
          <w:rFonts w:ascii="Arial" w:hAnsi="Arial" w:cs="Arial"/>
          <w:b/>
          <w:bCs/>
          <w:color w:val="000000"/>
          <w:sz w:val="16"/>
          <w:szCs w:val="16"/>
        </w:rPr>
        <w:t xml:space="preserve">2,182 </w:t>
      </w:r>
      <w:r>
        <w:rPr>
          <w:rFonts w:ascii="Arial" w:hAnsi="Arial" w:cs="Arial"/>
          <w:color w:val="000000"/>
          <w:sz w:val="16"/>
          <w:szCs w:val="16"/>
        </w:rPr>
        <w:t>2,171 </w:t>
      </w:r>
    </w:p>
    <w:p w14:paraId="35919424" w14:textId="77777777" w:rsidR="00905824" w:rsidRDefault="00905824" w:rsidP="00905824">
      <w:pPr>
        <w:pStyle w:val="NormalWeb"/>
        <w:spacing w:before="144" w:beforeAutospacing="0" w:after="0" w:afterAutospacing="0"/>
        <w:ind w:left="542" w:right="1166"/>
      </w:pPr>
      <w:r>
        <w:rPr>
          <w:rFonts w:ascii="Arial" w:hAnsi="Arial" w:cs="Arial"/>
          <w:color w:val="000000"/>
          <w:sz w:val="16"/>
          <w:szCs w:val="16"/>
        </w:rPr>
        <w:t xml:space="preserve">Fees and other revenue </w:t>
      </w:r>
      <w:r>
        <w:rPr>
          <w:rFonts w:ascii="Arial" w:hAnsi="Arial" w:cs="Arial"/>
          <w:b/>
          <w:bCs/>
          <w:color w:val="000000"/>
          <w:sz w:val="16"/>
          <w:szCs w:val="16"/>
        </w:rPr>
        <w:t xml:space="preserve">5,861 </w:t>
      </w:r>
      <w:r>
        <w:rPr>
          <w:rFonts w:ascii="Arial" w:hAnsi="Arial" w:cs="Arial"/>
          <w:color w:val="000000"/>
          <w:sz w:val="16"/>
          <w:szCs w:val="16"/>
        </w:rPr>
        <w:t>5,696 </w:t>
      </w:r>
    </w:p>
    <w:p w14:paraId="2CED09F6" w14:textId="77777777" w:rsidR="00905824" w:rsidRDefault="00905824" w:rsidP="00905824">
      <w:pPr>
        <w:pStyle w:val="NormalWeb"/>
        <w:spacing w:before="139" w:beforeAutospacing="0" w:after="0" w:afterAutospacing="0"/>
        <w:ind w:left="542" w:right="1104"/>
      </w:pPr>
      <w:r>
        <w:rPr>
          <w:rFonts w:ascii="Arial" w:hAnsi="Arial" w:cs="Arial"/>
          <w:color w:val="000000"/>
          <w:sz w:val="16"/>
          <w:szCs w:val="16"/>
        </w:rPr>
        <w:t xml:space="preserve">Net investment income </w:t>
      </w:r>
      <w:r>
        <w:rPr>
          <w:rFonts w:ascii="Arial" w:hAnsi="Arial" w:cs="Arial"/>
          <w:b/>
          <w:bCs/>
          <w:color w:val="000000"/>
          <w:sz w:val="16"/>
          <w:szCs w:val="16"/>
        </w:rPr>
        <w:t xml:space="preserve">910 </w:t>
      </w:r>
      <w:r>
        <w:rPr>
          <w:rFonts w:ascii="Arial" w:hAnsi="Arial" w:cs="Arial"/>
          <w:color w:val="000000"/>
          <w:sz w:val="16"/>
          <w:szCs w:val="16"/>
        </w:rPr>
        <w:t>917 </w:t>
      </w:r>
    </w:p>
    <w:p w14:paraId="1CA3F6E4" w14:textId="77777777" w:rsidR="00905824" w:rsidRDefault="00905824" w:rsidP="00905824">
      <w:pPr>
        <w:pStyle w:val="NormalWeb"/>
        <w:spacing w:before="144" w:beforeAutospacing="0" w:after="0" w:afterAutospacing="0"/>
        <w:ind w:left="542" w:right="1051"/>
      </w:pPr>
      <w:r>
        <w:rPr>
          <w:rFonts w:ascii="Arial" w:hAnsi="Arial" w:cs="Arial"/>
          <w:color w:val="000000"/>
          <w:sz w:val="16"/>
          <w:szCs w:val="16"/>
        </w:rPr>
        <w:t xml:space="preserve">Net realized capital gains (losses) </w:t>
      </w:r>
      <w:r>
        <w:rPr>
          <w:rFonts w:ascii="Arial" w:hAnsi="Arial" w:cs="Arial"/>
          <w:b/>
          <w:bCs/>
          <w:color w:val="000000"/>
          <w:sz w:val="16"/>
          <w:szCs w:val="16"/>
        </w:rPr>
        <w:t xml:space="preserve">86 </w:t>
      </w:r>
      <w:r>
        <w:rPr>
          <w:rFonts w:ascii="Arial" w:hAnsi="Arial" w:cs="Arial"/>
          <w:color w:val="000000"/>
          <w:sz w:val="16"/>
          <w:szCs w:val="16"/>
        </w:rPr>
        <w:t>(65) </w:t>
      </w:r>
    </w:p>
    <w:p w14:paraId="5943381B" w14:textId="77777777" w:rsidR="00905824" w:rsidRDefault="00905824" w:rsidP="00905824">
      <w:pPr>
        <w:pStyle w:val="NormalWeb"/>
        <w:spacing w:before="149" w:beforeAutospacing="0" w:after="0" w:afterAutospacing="0"/>
        <w:ind w:left="470" w:right="1190"/>
      </w:pPr>
      <w:r>
        <w:rPr>
          <w:rFonts w:ascii="Arial" w:hAnsi="Arial" w:cs="Arial"/>
          <w:color w:val="000000"/>
          <w:sz w:val="16"/>
          <w:szCs w:val="16"/>
        </w:rPr>
        <w:t xml:space="preserve">Total </w:t>
      </w:r>
      <w:proofErr w:type="spellStart"/>
      <w:r>
        <w:rPr>
          <w:rFonts w:ascii="Arial" w:hAnsi="Arial" w:cs="Arial"/>
          <w:color w:val="000000"/>
          <w:sz w:val="16"/>
          <w:szCs w:val="16"/>
        </w:rPr>
        <w:t>revunue</w:t>
      </w:r>
      <w:proofErr w:type="spellEnd"/>
      <w:r>
        <w:rPr>
          <w:rFonts w:ascii="Arial" w:hAnsi="Arial" w:cs="Arial"/>
          <w:color w:val="000000"/>
          <w:sz w:val="16"/>
          <w:szCs w:val="16"/>
        </w:rPr>
        <w:t xml:space="preserve"> </w:t>
      </w:r>
      <w:r>
        <w:rPr>
          <w:rFonts w:ascii="Arial" w:hAnsi="Arial" w:cs="Arial"/>
          <w:b/>
          <w:bCs/>
          <w:color w:val="000000"/>
          <w:sz w:val="16"/>
          <w:szCs w:val="16"/>
        </w:rPr>
        <w:t xml:space="preserve">63,155 </w:t>
      </w:r>
      <w:r>
        <w:rPr>
          <w:rFonts w:ascii="Arial" w:hAnsi="Arial" w:cs="Arial"/>
          <w:color w:val="000000"/>
          <w:sz w:val="16"/>
          <w:szCs w:val="16"/>
        </w:rPr>
        <w:t>60,337 </w:t>
      </w:r>
    </w:p>
    <w:p w14:paraId="02CC5541" w14:textId="77777777" w:rsidR="00905824" w:rsidRDefault="00905824" w:rsidP="00905824">
      <w:pPr>
        <w:pStyle w:val="NormalWeb"/>
        <w:spacing w:before="144" w:beforeAutospacing="0" w:after="0" w:afterAutospacing="0"/>
        <w:ind w:left="470" w:right="7099"/>
      </w:pPr>
      <w:r>
        <w:rPr>
          <w:rFonts w:ascii="Arial" w:hAnsi="Arial" w:cs="Arial"/>
          <w:color w:val="000000"/>
          <w:sz w:val="16"/>
          <w:szCs w:val="16"/>
        </w:rPr>
        <w:t>Benefits and expenses </w:t>
      </w:r>
    </w:p>
    <w:p w14:paraId="73EF523C" w14:textId="77777777" w:rsidR="00905824" w:rsidRDefault="00905824" w:rsidP="00905824">
      <w:pPr>
        <w:pStyle w:val="NormalWeb"/>
        <w:spacing w:before="139" w:beforeAutospacing="0" w:after="0" w:afterAutospacing="0"/>
        <w:ind w:left="542" w:right="1190"/>
      </w:pPr>
      <w:r>
        <w:rPr>
          <w:rFonts w:ascii="Arial" w:hAnsi="Arial" w:cs="Arial"/>
          <w:color w:val="000000"/>
          <w:sz w:val="16"/>
          <w:szCs w:val="16"/>
        </w:rPr>
        <w:t xml:space="preserve">Health care costs </w:t>
      </w:r>
      <w:r>
        <w:rPr>
          <w:rFonts w:ascii="Arial" w:hAnsi="Arial" w:cs="Arial"/>
          <w:b/>
          <w:bCs/>
          <w:color w:val="000000"/>
          <w:sz w:val="16"/>
          <w:szCs w:val="16"/>
        </w:rPr>
        <w:t xml:space="preserve">44,255 </w:t>
      </w:r>
      <w:r>
        <w:rPr>
          <w:rFonts w:ascii="Arial" w:hAnsi="Arial" w:cs="Arial"/>
          <w:color w:val="000000"/>
          <w:sz w:val="16"/>
          <w:szCs w:val="16"/>
        </w:rPr>
        <w:t>41,712 </w:t>
      </w:r>
    </w:p>
    <w:p w14:paraId="3F32CDC5" w14:textId="77777777" w:rsidR="00905824" w:rsidRDefault="00905824" w:rsidP="00905824">
      <w:pPr>
        <w:pStyle w:val="NormalWeb"/>
        <w:spacing w:before="144" w:beforeAutospacing="0" w:after="0" w:afterAutospacing="0"/>
        <w:ind w:left="542" w:right="1166"/>
      </w:pPr>
      <w:r>
        <w:rPr>
          <w:rFonts w:ascii="Arial" w:hAnsi="Arial" w:cs="Arial"/>
          <w:color w:val="000000"/>
          <w:sz w:val="16"/>
          <w:szCs w:val="16"/>
        </w:rPr>
        <w:t xml:space="preserve">Current and future benefits </w:t>
      </w:r>
      <w:r>
        <w:rPr>
          <w:rFonts w:ascii="Arial" w:hAnsi="Arial" w:cs="Arial"/>
          <w:b/>
          <w:bCs/>
          <w:color w:val="000000"/>
          <w:sz w:val="16"/>
          <w:szCs w:val="16"/>
        </w:rPr>
        <w:t xml:space="preserve">2,101 </w:t>
      </w:r>
      <w:r>
        <w:rPr>
          <w:rFonts w:ascii="Arial" w:hAnsi="Arial" w:cs="Arial"/>
          <w:color w:val="000000"/>
          <w:sz w:val="16"/>
          <w:szCs w:val="16"/>
        </w:rPr>
        <w:t>2,121 </w:t>
      </w:r>
    </w:p>
    <w:p w14:paraId="1B0CE6CB" w14:textId="77777777" w:rsidR="00905824" w:rsidRDefault="00905824" w:rsidP="00905824">
      <w:pPr>
        <w:pStyle w:val="NormalWeb"/>
        <w:spacing w:before="144" w:beforeAutospacing="0" w:after="0" w:afterAutospacing="0"/>
        <w:ind w:left="542" w:right="7142"/>
      </w:pPr>
      <w:r>
        <w:rPr>
          <w:rFonts w:ascii="Arial" w:hAnsi="Arial" w:cs="Arial"/>
          <w:color w:val="000000"/>
          <w:sz w:val="16"/>
          <w:szCs w:val="16"/>
        </w:rPr>
        <w:t>Operating expenses: </w:t>
      </w:r>
    </w:p>
    <w:p w14:paraId="58FEC69F" w14:textId="77777777" w:rsidR="00905824" w:rsidRDefault="00905824" w:rsidP="00905824">
      <w:pPr>
        <w:pStyle w:val="NormalWeb"/>
        <w:spacing w:before="139" w:beforeAutospacing="0" w:after="0" w:afterAutospacing="0"/>
        <w:ind w:left="610" w:right="1166"/>
      </w:pPr>
      <w:r>
        <w:rPr>
          <w:rFonts w:ascii="Arial" w:hAnsi="Arial" w:cs="Arial"/>
          <w:color w:val="000000"/>
          <w:sz w:val="16"/>
          <w:szCs w:val="16"/>
        </w:rPr>
        <w:t xml:space="preserve">Selling expenses </w:t>
      </w:r>
      <w:r>
        <w:rPr>
          <w:rFonts w:ascii="Arial" w:hAnsi="Arial" w:cs="Arial"/>
          <w:b/>
          <w:bCs/>
          <w:color w:val="000000"/>
          <w:sz w:val="16"/>
          <w:szCs w:val="16"/>
        </w:rPr>
        <w:t xml:space="preserve">1,678 </w:t>
      </w:r>
      <w:r>
        <w:rPr>
          <w:rFonts w:ascii="Arial" w:hAnsi="Arial" w:cs="Arial"/>
          <w:color w:val="000000"/>
          <w:sz w:val="16"/>
          <w:szCs w:val="16"/>
        </w:rPr>
        <w:t>1,611 </w:t>
      </w:r>
    </w:p>
    <w:p w14:paraId="4116A98A" w14:textId="77777777" w:rsidR="00905824" w:rsidRDefault="00905824" w:rsidP="00905824">
      <w:pPr>
        <w:pStyle w:val="NormalWeb"/>
        <w:spacing w:before="144" w:beforeAutospacing="0" w:after="0" w:afterAutospacing="0"/>
        <w:ind w:left="610" w:right="1190"/>
      </w:pPr>
      <w:r>
        <w:rPr>
          <w:rFonts w:ascii="Arial" w:hAnsi="Arial" w:cs="Arial"/>
          <w:color w:val="000000"/>
          <w:sz w:val="16"/>
          <w:szCs w:val="16"/>
        </w:rPr>
        <w:t xml:space="preserve">G&amp;A </w:t>
      </w:r>
      <w:r>
        <w:rPr>
          <w:rFonts w:ascii="Arial" w:hAnsi="Arial" w:cs="Arial"/>
          <w:b/>
          <w:bCs/>
          <w:color w:val="000000"/>
          <w:sz w:val="16"/>
          <w:szCs w:val="16"/>
        </w:rPr>
        <w:t xml:space="preserve">10,407 </w:t>
      </w:r>
      <w:r>
        <w:rPr>
          <w:rFonts w:ascii="Arial" w:hAnsi="Arial" w:cs="Arial"/>
          <w:color w:val="000000"/>
          <w:sz w:val="16"/>
          <w:szCs w:val="16"/>
        </w:rPr>
        <w:t>10,033 </w:t>
      </w:r>
    </w:p>
    <w:p w14:paraId="1D72DC91" w14:textId="77777777" w:rsidR="00905824" w:rsidRDefault="00905824" w:rsidP="00905824">
      <w:pPr>
        <w:pStyle w:val="NormalWeb"/>
        <w:spacing w:before="149" w:beforeAutospacing="0" w:after="0" w:afterAutospacing="0"/>
        <w:ind w:left="542" w:right="1190"/>
      </w:pPr>
      <w:r>
        <w:rPr>
          <w:rFonts w:ascii="Arial" w:hAnsi="Arial" w:cs="Arial"/>
          <w:color w:val="000000"/>
          <w:sz w:val="16"/>
          <w:szCs w:val="16"/>
        </w:rPr>
        <w:t xml:space="preserve">Total operating expenses </w:t>
      </w:r>
      <w:r>
        <w:rPr>
          <w:rFonts w:ascii="Arial" w:hAnsi="Arial" w:cs="Arial"/>
          <w:b/>
          <w:bCs/>
          <w:color w:val="000000"/>
          <w:sz w:val="16"/>
          <w:szCs w:val="16"/>
        </w:rPr>
        <w:t xml:space="preserve">12,085 </w:t>
      </w:r>
      <w:r>
        <w:rPr>
          <w:rFonts w:ascii="Arial" w:hAnsi="Arial" w:cs="Arial"/>
          <w:color w:val="000000"/>
          <w:sz w:val="16"/>
          <w:szCs w:val="16"/>
        </w:rPr>
        <w:t>11,644 </w:t>
      </w:r>
    </w:p>
    <w:p w14:paraId="5A845A73" w14:textId="77777777" w:rsidR="00905824" w:rsidRDefault="00905824" w:rsidP="00905824">
      <w:pPr>
        <w:pStyle w:val="NormalWeb"/>
        <w:spacing w:before="144" w:beforeAutospacing="0" w:after="0" w:afterAutospacing="0"/>
        <w:ind w:left="542" w:right="1104"/>
      </w:pPr>
      <w:r>
        <w:rPr>
          <w:rFonts w:ascii="Arial" w:hAnsi="Arial" w:cs="Arial"/>
          <w:color w:val="000000"/>
          <w:sz w:val="16"/>
          <w:szCs w:val="16"/>
        </w:rPr>
        <w:t xml:space="preserve">Interest expense </w:t>
      </w:r>
      <w:r>
        <w:rPr>
          <w:rFonts w:ascii="Arial" w:hAnsi="Arial" w:cs="Arial"/>
          <w:b/>
          <w:bCs/>
          <w:color w:val="000000"/>
          <w:sz w:val="16"/>
          <w:szCs w:val="16"/>
        </w:rPr>
        <w:t xml:space="preserve">604 </w:t>
      </w:r>
      <w:r>
        <w:rPr>
          <w:rFonts w:ascii="Arial" w:hAnsi="Arial" w:cs="Arial"/>
          <w:color w:val="000000"/>
          <w:sz w:val="16"/>
          <w:szCs w:val="16"/>
        </w:rPr>
        <w:t>369 </w:t>
      </w:r>
    </w:p>
    <w:p w14:paraId="228EDB53" w14:textId="77777777" w:rsidR="00905824" w:rsidRDefault="00905824" w:rsidP="00905824">
      <w:pPr>
        <w:pStyle w:val="NormalWeb"/>
        <w:spacing w:before="139" w:beforeAutospacing="0" w:after="0" w:afterAutospacing="0"/>
        <w:ind w:left="542" w:right="1104"/>
      </w:pPr>
      <w:r>
        <w:rPr>
          <w:rFonts w:ascii="Arial" w:hAnsi="Arial" w:cs="Arial"/>
          <w:color w:val="000000"/>
          <w:sz w:val="16"/>
          <w:szCs w:val="16"/>
        </w:rPr>
        <w:t xml:space="preserve">Amortization </w:t>
      </w:r>
      <w:r>
        <w:rPr>
          <w:rFonts w:ascii="Arial" w:hAnsi="Arial" w:cs="Arial"/>
          <w:b/>
          <w:bCs/>
          <w:color w:val="000000"/>
          <w:sz w:val="16"/>
          <w:szCs w:val="16"/>
        </w:rPr>
        <w:t xml:space="preserve">247 </w:t>
      </w:r>
      <w:r>
        <w:rPr>
          <w:rFonts w:ascii="Arial" w:hAnsi="Arial" w:cs="Arial"/>
          <w:color w:val="000000"/>
          <w:sz w:val="16"/>
          <w:szCs w:val="16"/>
        </w:rPr>
        <w:t>255 </w:t>
      </w:r>
    </w:p>
    <w:p w14:paraId="5D80C80E" w14:textId="77777777" w:rsidR="00905824" w:rsidRDefault="00905824" w:rsidP="00905824">
      <w:pPr>
        <w:pStyle w:val="NormalWeb"/>
        <w:spacing w:before="144" w:beforeAutospacing="0" w:after="0" w:afterAutospacing="0"/>
        <w:ind w:left="542" w:right="1118"/>
      </w:pPr>
      <w:r>
        <w:rPr>
          <w:rFonts w:ascii="Arial" w:hAnsi="Arial" w:cs="Arial"/>
          <w:color w:val="000000"/>
          <w:sz w:val="16"/>
          <w:szCs w:val="16"/>
        </w:rPr>
        <w:t xml:space="preserve">Reduction </w:t>
      </w:r>
      <w:r>
        <w:rPr>
          <w:rFonts w:ascii="Arial" w:hAnsi="Arial" w:cs="Arial"/>
          <w:b/>
          <w:bCs/>
          <w:color w:val="000000"/>
          <w:sz w:val="16"/>
          <w:szCs w:val="16"/>
        </w:rPr>
        <w:t xml:space="preserve">(128) </w:t>
      </w:r>
      <w:r>
        <w:rPr>
          <w:rFonts w:ascii="Arial" w:hAnsi="Arial" w:cs="Arial"/>
          <w:color w:val="000000"/>
          <w:sz w:val="16"/>
          <w:szCs w:val="16"/>
        </w:rPr>
        <w:t>- </w:t>
      </w:r>
    </w:p>
    <w:p w14:paraId="3087B72D" w14:textId="77777777" w:rsidR="00905824" w:rsidRDefault="00905824" w:rsidP="00905824">
      <w:pPr>
        <w:pStyle w:val="NormalWeb"/>
        <w:spacing w:before="149" w:beforeAutospacing="0" w:after="0" w:afterAutospacing="0"/>
        <w:ind w:left="470" w:right="1190"/>
      </w:pPr>
      <w:r>
        <w:rPr>
          <w:rFonts w:ascii="Arial" w:hAnsi="Arial" w:cs="Arial"/>
          <w:color w:val="000000"/>
          <w:sz w:val="16"/>
          <w:szCs w:val="16"/>
        </w:rPr>
        <w:t xml:space="preserve">Total benefits and expenses </w:t>
      </w:r>
      <w:r>
        <w:rPr>
          <w:rFonts w:ascii="Arial" w:hAnsi="Arial" w:cs="Arial"/>
          <w:b/>
          <w:bCs/>
          <w:color w:val="000000"/>
          <w:sz w:val="16"/>
          <w:szCs w:val="16"/>
        </w:rPr>
        <w:t xml:space="preserve">59,164 </w:t>
      </w:r>
      <w:r>
        <w:rPr>
          <w:rFonts w:ascii="Arial" w:hAnsi="Arial" w:cs="Arial"/>
          <w:color w:val="000000"/>
          <w:sz w:val="16"/>
          <w:szCs w:val="16"/>
        </w:rPr>
        <w:t>56,101 </w:t>
      </w:r>
    </w:p>
    <w:p w14:paraId="618AF703" w14:textId="77777777" w:rsidR="00905824" w:rsidRDefault="00905824" w:rsidP="00905824">
      <w:pPr>
        <w:pStyle w:val="NormalWeb"/>
        <w:spacing w:before="154" w:beforeAutospacing="0" w:after="0" w:afterAutospacing="0"/>
        <w:ind w:left="470" w:right="1166"/>
      </w:pPr>
      <w:r>
        <w:rPr>
          <w:rFonts w:ascii="Arial" w:hAnsi="Arial" w:cs="Arial"/>
          <w:color w:val="000000"/>
          <w:sz w:val="16"/>
          <w:szCs w:val="16"/>
        </w:rPr>
        <w:t xml:space="preserve">Income before income taxes </w:t>
      </w:r>
      <w:r>
        <w:rPr>
          <w:rFonts w:ascii="Arial" w:hAnsi="Arial" w:cs="Arial"/>
          <w:b/>
          <w:bCs/>
          <w:color w:val="000000"/>
          <w:sz w:val="16"/>
          <w:szCs w:val="16"/>
        </w:rPr>
        <w:t xml:space="preserve">3,991 </w:t>
      </w:r>
      <w:r>
        <w:rPr>
          <w:rFonts w:ascii="Arial" w:hAnsi="Arial" w:cs="Arial"/>
          <w:color w:val="000000"/>
          <w:sz w:val="16"/>
          <w:szCs w:val="16"/>
        </w:rPr>
        <w:t>4,236 </w:t>
      </w:r>
    </w:p>
    <w:p w14:paraId="2B331ABD" w14:textId="77777777" w:rsidR="00905824" w:rsidRDefault="00905824" w:rsidP="00905824">
      <w:pPr>
        <w:pStyle w:val="NormalWeb"/>
        <w:spacing w:before="139" w:beforeAutospacing="0" w:after="0" w:afterAutospacing="0"/>
        <w:ind w:left="470" w:right="1166"/>
      </w:pPr>
      <w:r>
        <w:rPr>
          <w:rFonts w:ascii="Arial" w:hAnsi="Arial" w:cs="Arial"/>
          <w:color w:val="000000"/>
          <w:sz w:val="16"/>
          <w:szCs w:val="16"/>
        </w:rPr>
        <w:lastRenderedPageBreak/>
        <w:t xml:space="preserve">Income tax expenses </w:t>
      </w:r>
      <w:r>
        <w:rPr>
          <w:rFonts w:ascii="Arial" w:hAnsi="Arial" w:cs="Arial"/>
          <w:b/>
          <w:bCs/>
          <w:color w:val="000000"/>
          <w:sz w:val="16"/>
          <w:szCs w:val="16"/>
        </w:rPr>
        <w:t xml:space="preserve">1,735 </w:t>
      </w:r>
      <w:r>
        <w:rPr>
          <w:rFonts w:ascii="Arial" w:hAnsi="Arial" w:cs="Arial"/>
          <w:color w:val="000000"/>
          <w:sz w:val="16"/>
          <w:szCs w:val="16"/>
        </w:rPr>
        <w:t>1,841 </w:t>
      </w:r>
    </w:p>
    <w:p w14:paraId="629586AC" w14:textId="77777777" w:rsidR="00905824" w:rsidRDefault="00905824" w:rsidP="00905824">
      <w:pPr>
        <w:pStyle w:val="NormalWeb"/>
        <w:spacing w:before="173" w:beforeAutospacing="0" w:after="0" w:afterAutospacing="0"/>
        <w:ind w:left="470" w:right="1190"/>
      </w:pPr>
      <w:r>
        <w:rPr>
          <w:rFonts w:ascii="Arial" w:hAnsi="Arial" w:cs="Arial"/>
          <w:color w:val="000000"/>
          <w:sz w:val="16"/>
          <w:szCs w:val="16"/>
        </w:rPr>
        <w:t xml:space="preserve">Net income </w:t>
      </w:r>
      <w:r>
        <w:rPr>
          <w:rFonts w:ascii="Arial" w:hAnsi="Arial" w:cs="Arial"/>
          <w:b/>
          <w:bCs/>
          <w:color w:val="000000"/>
          <w:sz w:val="16"/>
          <w:szCs w:val="16"/>
        </w:rPr>
        <w:t xml:space="preserve">$ 2,256 </w:t>
      </w:r>
      <w:r>
        <w:rPr>
          <w:rFonts w:ascii="Arial" w:hAnsi="Arial" w:cs="Arial"/>
          <w:color w:val="000000"/>
          <w:sz w:val="16"/>
          <w:szCs w:val="16"/>
        </w:rPr>
        <w:t>$ 2,395 </w:t>
      </w:r>
    </w:p>
    <w:p w14:paraId="1D5C4F4D" w14:textId="77777777" w:rsidR="00905824" w:rsidRDefault="00905824" w:rsidP="00905824">
      <w:pPr>
        <w:pStyle w:val="NormalWeb"/>
        <w:spacing w:before="4814" w:beforeAutospacing="0" w:after="0" w:afterAutospacing="0"/>
        <w:ind w:left="4392" w:right="4387"/>
      </w:pPr>
      <w:r>
        <w:rPr>
          <w:rFonts w:ascii="Arial" w:hAnsi="Arial" w:cs="Arial"/>
          <w:color w:val="000000"/>
        </w:rPr>
        <w:t>15 </w:t>
      </w:r>
    </w:p>
    <w:p w14:paraId="14C7E664" w14:textId="77777777" w:rsidR="00C16C56" w:rsidRDefault="00C16C56"/>
    <w:sectPr w:rsidR="00C16C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824"/>
    <w:rsid w:val="00253481"/>
    <w:rsid w:val="00905824"/>
    <w:rsid w:val="00C16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69C5B"/>
  <w15:chartTrackingRefBased/>
  <w15:docId w15:val="{D084F7E5-4AAC-4978-B9A4-677CF751E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58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355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3821</Words>
  <Characters>21780</Characters>
  <Application>Microsoft Office Word</Application>
  <DocSecurity>0</DocSecurity>
  <Lines>181</Lines>
  <Paragraphs>51</Paragraphs>
  <ScaleCrop>false</ScaleCrop>
  <Company/>
  <LinksUpToDate>false</LinksUpToDate>
  <CharactersWithSpaces>25550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Yingcong</dc:creator>
  <cp:keywords/>
  <dc:description/>
  <cp:lastModifiedBy>Lu, Yingcong</cp:lastModifiedBy>
  <cp:revision>1</cp:revision>
  <dcterms:created xsi:type="dcterms:W3CDTF">2020-06-07T01:04:00Z</dcterms:created>
  <dcterms:modified xsi:type="dcterms:W3CDTF">2020-06-07T01:05:00Z</dcterms:modified>
</cp:coreProperties>
</file>