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0E302" w14:textId="4141C44E" w:rsidR="00123E41" w:rsidRDefault="00123E41" w:rsidP="00123E41">
      <w:pPr>
        <w:rPr>
          <w:rFonts w:ascii="Arial" w:eastAsia="Times New Roman" w:hAnsi="Arial" w:cs="Arial"/>
          <w:color w:val="262626"/>
          <w:sz w:val="21"/>
          <w:szCs w:val="21"/>
        </w:rPr>
      </w:pPr>
      <w:bookmarkStart w:id="0" w:name="_GoBack"/>
      <w:bookmarkEnd w:id="0"/>
    </w:p>
    <w:p w14:paraId="46C0D713" w14:textId="77777777" w:rsidR="00F91510" w:rsidRPr="006657B4" w:rsidRDefault="00F91510" w:rsidP="00F91510">
      <w:pPr>
        <w:jc w:val="center"/>
        <w:rPr>
          <w:noProof/>
          <w:lang w:val="en-GB" w:eastAsia="en-GB"/>
        </w:rPr>
      </w:pPr>
    </w:p>
    <w:p w14:paraId="6F07D981" w14:textId="77777777" w:rsidR="00F91510" w:rsidRPr="006657B4" w:rsidRDefault="00F91510" w:rsidP="00F91510">
      <w:pPr>
        <w:jc w:val="center"/>
        <w:rPr>
          <w:noProof/>
          <w:lang w:val="en-GB" w:eastAsia="en-GB"/>
        </w:rPr>
      </w:pPr>
    </w:p>
    <w:p w14:paraId="1B300F65" w14:textId="77777777" w:rsidR="00F91510" w:rsidRPr="006657B4" w:rsidRDefault="00F91510" w:rsidP="00F91510">
      <w:pPr>
        <w:jc w:val="center"/>
        <w:rPr>
          <w:noProof/>
          <w:lang w:val="en-GB" w:eastAsia="en-GB"/>
        </w:rPr>
      </w:pPr>
    </w:p>
    <w:p w14:paraId="1DCB4DF7" w14:textId="77777777" w:rsidR="00F91510" w:rsidRPr="006657B4" w:rsidRDefault="00F91510" w:rsidP="00F91510">
      <w:pPr>
        <w:jc w:val="center"/>
        <w:rPr>
          <w:noProof/>
          <w:lang w:val="en-GB" w:eastAsia="en-GB"/>
        </w:rPr>
      </w:pPr>
    </w:p>
    <w:p w14:paraId="1B7AC005" w14:textId="77777777" w:rsidR="00F91510" w:rsidRPr="006657B4" w:rsidRDefault="00F91510" w:rsidP="00F91510">
      <w:pPr>
        <w:jc w:val="center"/>
        <w:rPr>
          <w:noProof/>
          <w:lang w:val="en-GB" w:eastAsia="en-GB"/>
        </w:rPr>
      </w:pPr>
    </w:p>
    <w:p w14:paraId="4F2537A3" w14:textId="77777777" w:rsidR="00F91510" w:rsidRPr="006657B4" w:rsidRDefault="00F91510" w:rsidP="00F91510">
      <w:pPr>
        <w:jc w:val="center"/>
        <w:rPr>
          <w:noProof/>
          <w:lang w:val="en-GB" w:eastAsia="en-GB"/>
        </w:rPr>
      </w:pPr>
    </w:p>
    <w:p w14:paraId="61D44E6A" w14:textId="77777777" w:rsidR="00F91510" w:rsidRPr="006657B4" w:rsidRDefault="00F91510" w:rsidP="00F91510">
      <w:pPr>
        <w:jc w:val="center"/>
        <w:rPr>
          <w:noProof/>
          <w:lang w:val="en-GB" w:eastAsia="en-GB"/>
        </w:rPr>
      </w:pPr>
    </w:p>
    <w:p w14:paraId="28D12F6C" w14:textId="77777777" w:rsidR="00F91510" w:rsidRPr="006657B4" w:rsidRDefault="00F91510" w:rsidP="00F91510">
      <w:pPr>
        <w:jc w:val="center"/>
        <w:rPr>
          <w:noProof/>
          <w:lang w:val="en-GB" w:eastAsia="en-GB"/>
        </w:rPr>
      </w:pPr>
      <w:r w:rsidRPr="006657B4">
        <w:rPr>
          <w:noProof/>
          <w:lang w:val="en-GB" w:eastAsia="en-GB"/>
        </w:rPr>
        <w:t>Facility Planning: Doctor’s Office</w:t>
      </w:r>
    </w:p>
    <w:p w14:paraId="7C14FFD2" w14:textId="1826DEB5" w:rsidR="00F91510" w:rsidRDefault="00F91510" w:rsidP="00F91510">
      <w:pPr>
        <w:jc w:val="center"/>
        <w:rPr>
          <w:noProof/>
          <w:lang w:val="en-GB" w:eastAsia="en-GB"/>
        </w:rPr>
      </w:pPr>
      <w:r>
        <w:rPr>
          <w:noProof/>
          <w:lang w:val="en-GB" w:eastAsia="en-GB"/>
        </w:rPr>
        <w:t>Jonathan Schellhorn</w:t>
      </w:r>
    </w:p>
    <w:p w14:paraId="263A8FB6" w14:textId="347451D3" w:rsidR="00F91510" w:rsidRPr="006657B4" w:rsidRDefault="00F91510" w:rsidP="00F91510">
      <w:pPr>
        <w:jc w:val="center"/>
        <w:rPr>
          <w:noProof/>
          <w:lang w:val="en-GB" w:eastAsia="en-GB"/>
        </w:rPr>
      </w:pPr>
      <w:r>
        <w:rPr>
          <w:noProof/>
          <w:lang w:val="en-GB" w:eastAsia="en-GB"/>
        </w:rPr>
        <w:t>04/13/2020</w:t>
      </w:r>
    </w:p>
    <w:p w14:paraId="4CA72754" w14:textId="6285A577" w:rsidR="00F91510" w:rsidRDefault="00F91510" w:rsidP="00F91510">
      <w:pPr>
        <w:jc w:val="center"/>
        <w:rPr>
          <w:noProof/>
          <w:lang w:val="en-GB" w:eastAsia="en-GB"/>
        </w:rPr>
      </w:pPr>
      <w:r>
        <w:rPr>
          <w:noProof/>
          <w:lang w:val="en-GB" w:eastAsia="en-GB"/>
        </w:rPr>
        <w:t>HCS/446</w:t>
      </w:r>
    </w:p>
    <w:p w14:paraId="32BFAD96" w14:textId="3C29B32D" w:rsidR="00F91510" w:rsidRPr="006657B4" w:rsidRDefault="00F91510" w:rsidP="00F91510">
      <w:pPr>
        <w:jc w:val="center"/>
        <w:rPr>
          <w:noProof/>
          <w:lang w:val="en-GB" w:eastAsia="en-GB"/>
        </w:rPr>
      </w:pPr>
      <w:r>
        <w:rPr>
          <w:noProof/>
          <w:lang w:val="en-GB" w:eastAsia="en-GB"/>
        </w:rPr>
        <w:t xml:space="preserve">Professor Jennifer Huff </w:t>
      </w:r>
    </w:p>
    <w:p w14:paraId="439CAE16" w14:textId="77777777" w:rsidR="00F91510" w:rsidRPr="006657B4" w:rsidRDefault="00F91510" w:rsidP="00F91510">
      <w:pPr>
        <w:rPr>
          <w:noProof/>
          <w:lang w:val="en-GB" w:eastAsia="en-GB"/>
        </w:rPr>
      </w:pPr>
      <w:r w:rsidRPr="006657B4">
        <w:rPr>
          <w:noProof/>
          <w:lang w:val="en-GB" w:eastAsia="en-GB"/>
        </w:rPr>
        <w:br w:type="page"/>
      </w:r>
    </w:p>
    <w:p w14:paraId="6CCF6366" w14:textId="77777777" w:rsidR="00F91510" w:rsidRPr="006657B4" w:rsidRDefault="00F91510" w:rsidP="00F91510">
      <w:pPr>
        <w:jc w:val="center"/>
        <w:rPr>
          <w:noProof/>
          <w:lang w:val="en-GB" w:eastAsia="en-GB"/>
        </w:rPr>
      </w:pPr>
      <w:r w:rsidRPr="006657B4">
        <w:rPr>
          <w:noProof/>
          <w:lang w:val="en-GB" w:eastAsia="en-GB"/>
        </w:rPr>
        <w:lastRenderedPageBreak/>
        <w:t>Facility Planning: Doctor’s Office</w:t>
      </w:r>
    </w:p>
    <w:p w14:paraId="6B251EFD" w14:textId="77777777" w:rsidR="00F91510" w:rsidRPr="006657B4" w:rsidRDefault="00F91510" w:rsidP="00F91510">
      <w:pPr>
        <w:jc w:val="center"/>
        <w:rPr>
          <w:b/>
        </w:rPr>
      </w:pPr>
      <w:r w:rsidRPr="006657B4">
        <w:rPr>
          <w:b/>
        </w:rPr>
        <w:t>Steps Taken</w:t>
      </w:r>
    </w:p>
    <w:p w14:paraId="0A22AF26" w14:textId="77777777" w:rsidR="00F91510" w:rsidRPr="006657B4" w:rsidRDefault="00F91510" w:rsidP="00F91510">
      <w:r w:rsidRPr="006657B4">
        <w:tab/>
        <w:t>The steps taken involved listing all the essential services that would be needed in a doctor’s office to ensure that activities were run smoothly. This involves considering the needs of patients, nurses, doctors, and other staff working in a doctor’s office such as medical laboratory technicians. It also involved ensuring that all the essential rooms required would be placed at advantageous locations.</w:t>
      </w:r>
    </w:p>
    <w:p w14:paraId="6FA5F32F" w14:textId="77777777" w:rsidR="00F91510" w:rsidRPr="006657B4" w:rsidRDefault="00F91510" w:rsidP="00F91510">
      <w:pPr>
        <w:jc w:val="center"/>
        <w:rPr>
          <w:b/>
        </w:rPr>
      </w:pPr>
      <w:r w:rsidRPr="006657B4">
        <w:rPr>
          <w:b/>
        </w:rPr>
        <w:t>Successes and Challenges</w:t>
      </w:r>
    </w:p>
    <w:p w14:paraId="39CBCC76" w14:textId="77777777" w:rsidR="00F91510" w:rsidRDefault="00F91510" w:rsidP="00F91510">
      <w:r w:rsidRPr="006657B4">
        <w:tab/>
        <w:t>Some of the successes involved ensuring that patient would get adequate privacy, incorporating more than one examination, consultation, and doctor’s room to ease traffic in the facility. The only challenge experienced was based on placement of the laundry and housekeeping room.</w:t>
      </w:r>
    </w:p>
    <w:p w14:paraId="627584FD" w14:textId="145C739B" w:rsidR="00F91510" w:rsidRPr="00F91510" w:rsidRDefault="00F91510" w:rsidP="00F91510">
      <w:pPr>
        <w:jc w:val="center"/>
      </w:pPr>
      <w:r w:rsidRPr="006657B4">
        <w:rPr>
          <w:b/>
          <w:noProof/>
          <w:lang w:val="en-GB" w:eastAsia="en-GB"/>
        </w:rPr>
        <w:t>Doctor’s Office Design</w:t>
      </w:r>
    </w:p>
    <w:p w14:paraId="517BC6F5" w14:textId="77777777" w:rsidR="00F91510" w:rsidRPr="006657B4" w:rsidRDefault="00F91510" w:rsidP="00F91510">
      <w:r w:rsidRPr="006657B4">
        <w:rPr>
          <w:noProof/>
          <w:lang w:val="en-GB" w:eastAsia="en-GB"/>
        </w:rPr>
        <w:lastRenderedPageBreak/>
        <w:drawing>
          <wp:inline distT="0" distB="0" distL="0" distR="0" wp14:anchorId="199274D8" wp14:editId="22993CFD">
            <wp:extent cx="5936615" cy="4067175"/>
            <wp:effectExtent l="0" t="0" r="6985" b="952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6615" cy="4067175"/>
                    </a:xfrm>
                    <a:prstGeom prst="rect">
                      <a:avLst/>
                    </a:prstGeom>
                    <a:noFill/>
                    <a:ln>
                      <a:noFill/>
                    </a:ln>
                  </pic:spPr>
                </pic:pic>
              </a:graphicData>
            </a:graphic>
          </wp:inline>
        </w:drawing>
      </w:r>
    </w:p>
    <w:p w14:paraId="148C982C" w14:textId="77777777" w:rsidR="00F91510" w:rsidRPr="006657B4" w:rsidRDefault="00F91510" w:rsidP="00F91510">
      <w:pPr>
        <w:jc w:val="center"/>
        <w:rPr>
          <w:b/>
        </w:rPr>
      </w:pPr>
      <w:r w:rsidRPr="006657B4">
        <w:rPr>
          <w:b/>
        </w:rPr>
        <w:t>Considerations</w:t>
      </w:r>
    </w:p>
    <w:p w14:paraId="70B68A6D" w14:textId="77777777" w:rsidR="00F91510" w:rsidRDefault="00F91510" w:rsidP="00F91510">
      <w:r w:rsidRPr="006657B4">
        <w:tab/>
        <w:t>The placement of the nurse station at the middle ensures that patients, nurses, and doctors can easily access the nurse station for inquiries or file retrievals. It also ensures that nurses can access all the room in the facility easily. The open design of the waiting area ensures that nurses can easily observe the patients at the waiting area. This ensures that they notice patients who might require emergency services or those who may pass out</w:t>
      </w:r>
      <w:sdt>
        <w:sdtPr>
          <w:id w:val="-2113039429"/>
          <w:citation/>
        </w:sdtPr>
        <w:sdtEndPr/>
        <w:sdtContent>
          <w:r w:rsidRPr="006657B4">
            <w:fldChar w:fldCharType="begin"/>
          </w:r>
          <w:r w:rsidRPr="006657B4">
            <w:instrText xml:space="preserve"> CITATION Bre18 \l 1033 </w:instrText>
          </w:r>
          <w:r w:rsidRPr="006657B4">
            <w:fldChar w:fldCharType="separate"/>
          </w:r>
          <w:r w:rsidRPr="006657B4">
            <w:rPr>
              <w:noProof/>
            </w:rPr>
            <w:t xml:space="preserve"> (Brewer, Carley, &amp; Benham-Hutchins, 2018)</w:t>
          </w:r>
          <w:r w:rsidRPr="006657B4">
            <w:fldChar w:fldCharType="end"/>
          </w:r>
        </w:sdtContent>
      </w:sdt>
      <w:r w:rsidRPr="006657B4">
        <w:t>. The vending machine in the waiting area was placed there to offer the patients and their family members’ access to healthy snacks</w:t>
      </w:r>
      <w:sdt>
        <w:sdtPr>
          <w:id w:val="-1690445248"/>
          <w:citation/>
        </w:sdtPr>
        <w:sdtEndPr/>
        <w:sdtContent>
          <w:r w:rsidRPr="006657B4">
            <w:fldChar w:fldCharType="begin"/>
          </w:r>
          <w:r w:rsidRPr="006657B4">
            <w:instrText xml:space="preserve"> CITATION Pec19 \l 1033 </w:instrText>
          </w:r>
          <w:r w:rsidRPr="006657B4">
            <w:fldChar w:fldCharType="separate"/>
          </w:r>
          <w:r w:rsidRPr="006657B4">
            <w:rPr>
              <w:noProof/>
            </w:rPr>
            <w:t xml:space="preserve"> (Pechey, Jenkins, Cartwright, &amp; Marteau, 2019)</w:t>
          </w:r>
          <w:r w:rsidRPr="006657B4">
            <w:fldChar w:fldCharType="end"/>
          </w:r>
        </w:sdtContent>
      </w:sdt>
      <w:r w:rsidRPr="006657B4">
        <w:t xml:space="preserve">. The staff break room and staff bathroom were placed next to each other to ease accessibility. </w:t>
      </w:r>
    </w:p>
    <w:p w14:paraId="25E96B83" w14:textId="77777777" w:rsidR="00F91510" w:rsidRPr="006657B4" w:rsidRDefault="00F91510" w:rsidP="00F91510">
      <w:r>
        <w:lastRenderedPageBreak/>
        <w:tab/>
      </w:r>
      <w:r w:rsidRPr="006657B4">
        <w:t>The two bathrooms near the examination room were meant for patients. They ensured that patients who were required to offer a urine or stool sample could easily access the bathrooms. The storage room was meant for laboratory equipment, radiology equipment, oxygen cylinders, suctions, and other mechanical equipment. The placement of the laundry room near the examination room ensured that dirty linens rom the examination room could be cleaned and changed easily. A section of the room was also meant for waste disposal.</w:t>
      </w:r>
    </w:p>
    <w:p w14:paraId="06CE5A6F" w14:textId="77777777" w:rsidR="00F91510" w:rsidRPr="006657B4" w:rsidRDefault="00F91510" w:rsidP="00F91510">
      <w:r w:rsidRPr="006657B4">
        <w:br w:type="page"/>
      </w:r>
    </w:p>
    <w:sdt>
      <w:sdtPr>
        <w:rPr>
          <w:rFonts w:ascii="Times New Roman" w:eastAsiaTheme="minorHAnsi" w:hAnsi="Times New Roman" w:cs="Times New Roman"/>
          <w:color w:val="auto"/>
          <w:sz w:val="24"/>
          <w:szCs w:val="24"/>
        </w:rPr>
        <w:id w:val="765655073"/>
        <w:docPartObj>
          <w:docPartGallery w:val="Bibliographies"/>
          <w:docPartUnique/>
        </w:docPartObj>
      </w:sdtPr>
      <w:sdtEndPr/>
      <w:sdtContent>
        <w:p w14:paraId="356FFFA2" w14:textId="77777777" w:rsidR="00F91510" w:rsidRPr="006657B4" w:rsidRDefault="00F91510" w:rsidP="00F91510">
          <w:pPr>
            <w:pStyle w:val="Heading1"/>
            <w:spacing w:line="480" w:lineRule="auto"/>
            <w:jc w:val="center"/>
            <w:rPr>
              <w:rFonts w:ascii="Times New Roman" w:hAnsi="Times New Roman" w:cs="Times New Roman"/>
              <w:b/>
              <w:color w:val="auto"/>
              <w:sz w:val="24"/>
              <w:szCs w:val="24"/>
            </w:rPr>
          </w:pPr>
          <w:r w:rsidRPr="006657B4">
            <w:rPr>
              <w:rFonts w:ascii="Times New Roman" w:hAnsi="Times New Roman" w:cs="Times New Roman"/>
              <w:b/>
              <w:color w:val="auto"/>
              <w:sz w:val="24"/>
              <w:szCs w:val="24"/>
            </w:rPr>
            <w:t>References</w:t>
          </w:r>
        </w:p>
        <w:sdt>
          <w:sdtPr>
            <w:id w:val="-573587230"/>
            <w:bibliography/>
          </w:sdtPr>
          <w:sdtEndPr/>
          <w:sdtContent>
            <w:p w14:paraId="24AEC33E" w14:textId="77777777" w:rsidR="00F91510" w:rsidRPr="006657B4" w:rsidRDefault="00F91510" w:rsidP="00F91510">
              <w:pPr>
                <w:pStyle w:val="Bibliography"/>
                <w:ind w:left="720" w:hanging="720"/>
                <w:rPr>
                  <w:noProof/>
                </w:rPr>
              </w:pPr>
              <w:r w:rsidRPr="006657B4">
                <w:fldChar w:fldCharType="begin"/>
              </w:r>
              <w:r w:rsidRPr="006657B4">
                <w:instrText xml:space="preserve"> BIBLIOGRAPHY </w:instrText>
              </w:r>
              <w:r w:rsidRPr="006657B4">
                <w:fldChar w:fldCharType="separate"/>
              </w:r>
              <w:r w:rsidRPr="006657B4">
                <w:rPr>
                  <w:noProof/>
                </w:rPr>
                <w:t xml:space="preserve">Brewer, B. B., Carley, K. M., &amp; Benham-Hutchins, M. (2018). Nursing Unit Design, Nursing Staff Communication Networks, and Patient Falls: Are They Related? </w:t>
              </w:r>
              <w:r w:rsidRPr="006657B4">
                <w:rPr>
                  <w:i/>
                  <w:iCs/>
                  <w:noProof/>
                </w:rPr>
                <w:t>Health Environments Research &amp; Design Journal</w:t>
              </w:r>
              <w:r w:rsidRPr="006657B4">
                <w:rPr>
                  <w:noProof/>
                </w:rPr>
                <w:t>, 11(4), Retrieved from https://journals.sagepub.com/doi/10.1177/1937586718779223.</w:t>
              </w:r>
            </w:p>
            <w:p w14:paraId="5F84EFBF" w14:textId="77777777" w:rsidR="00F91510" w:rsidRPr="006657B4" w:rsidRDefault="00F91510" w:rsidP="00F91510">
              <w:pPr>
                <w:pStyle w:val="Bibliography"/>
                <w:ind w:left="720" w:hanging="720"/>
                <w:rPr>
                  <w:noProof/>
                </w:rPr>
              </w:pPr>
              <w:r w:rsidRPr="006657B4">
                <w:rPr>
                  <w:noProof/>
                </w:rPr>
                <w:t xml:space="preserve">Pechey, R., Jenkins, H., Cartwright, E., &amp; Marteau, T. M. (2019). Altering the availability of healthier vs. less healthy items in UK hospital vending machines: a multiple treatment reversal design. </w:t>
              </w:r>
              <w:r w:rsidRPr="006657B4">
                <w:rPr>
                  <w:i/>
                  <w:iCs/>
                  <w:noProof/>
                </w:rPr>
                <w:t>Interational Journal of Behavioral Nutrition and Physical Activity</w:t>
              </w:r>
              <w:r w:rsidRPr="006657B4">
                <w:rPr>
                  <w:noProof/>
                </w:rPr>
                <w:t>, 16, 772. Retrieved from https://ijbnpa.biomedcentral.com/articles/10.1186/s12966-019-0883-5.</w:t>
              </w:r>
            </w:p>
            <w:p w14:paraId="09EE6482" w14:textId="77777777" w:rsidR="00F91510" w:rsidRPr="006657B4" w:rsidRDefault="00F91510" w:rsidP="00F91510">
              <w:r w:rsidRPr="006657B4">
                <w:rPr>
                  <w:b/>
                  <w:bCs/>
                  <w:noProof/>
                </w:rPr>
                <w:fldChar w:fldCharType="end"/>
              </w:r>
            </w:p>
          </w:sdtContent>
        </w:sdt>
      </w:sdtContent>
    </w:sdt>
    <w:p w14:paraId="215680F7" w14:textId="77777777" w:rsidR="00DA318E" w:rsidRPr="00643B71" w:rsidRDefault="00CE3825" w:rsidP="00F91510"/>
    <w:sectPr w:rsidR="00DA318E" w:rsidRPr="00643B71" w:rsidSect="00F37D5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BF6DA" w14:textId="77777777" w:rsidR="00CE3825" w:rsidRDefault="00CE3825" w:rsidP="00F91510">
      <w:pPr>
        <w:spacing w:after="0" w:line="240" w:lineRule="auto"/>
      </w:pPr>
      <w:r>
        <w:separator/>
      </w:r>
    </w:p>
  </w:endnote>
  <w:endnote w:type="continuationSeparator" w:id="0">
    <w:p w14:paraId="4CB53E73" w14:textId="77777777" w:rsidR="00CE3825" w:rsidRDefault="00CE3825" w:rsidP="00F91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BE616" w14:textId="77777777" w:rsidR="00CE3825" w:rsidRDefault="00CE3825" w:rsidP="00F91510">
      <w:pPr>
        <w:spacing w:after="0" w:line="240" w:lineRule="auto"/>
      </w:pPr>
      <w:r>
        <w:separator/>
      </w:r>
    </w:p>
  </w:footnote>
  <w:footnote w:type="continuationSeparator" w:id="0">
    <w:p w14:paraId="351E2139" w14:textId="77777777" w:rsidR="00CE3825" w:rsidRDefault="00CE3825" w:rsidP="00F91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8CFFB" w14:textId="77777777" w:rsidR="00F91510" w:rsidRPr="0094762B" w:rsidRDefault="00F91510" w:rsidP="00F91510">
    <w:pPr>
      <w:pStyle w:val="Header"/>
    </w:pPr>
    <w:r>
      <w:t xml:space="preserve">DOCTOR’S OFFICE </w:t>
    </w:r>
    <w:r>
      <w:tab/>
    </w:r>
    <w:r>
      <w:tab/>
    </w:r>
    <w:r>
      <w:fldChar w:fldCharType="begin"/>
    </w:r>
    <w:r>
      <w:instrText xml:space="preserve"> PAGE   \* MERGEFORMAT </w:instrText>
    </w:r>
    <w:r>
      <w:fldChar w:fldCharType="separate"/>
    </w:r>
    <w:r>
      <w:t>2</w:t>
    </w:r>
    <w:r>
      <w:rPr>
        <w:noProof/>
      </w:rPr>
      <w:fldChar w:fldCharType="end"/>
    </w:r>
  </w:p>
  <w:p w14:paraId="1E10DE34" w14:textId="77777777" w:rsidR="00F91510" w:rsidRPr="00F91510" w:rsidRDefault="00F91510" w:rsidP="00F91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156DE"/>
    <w:multiLevelType w:val="multilevel"/>
    <w:tmpl w:val="8424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60110"/>
    <w:multiLevelType w:val="multilevel"/>
    <w:tmpl w:val="FA9A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88139D"/>
    <w:multiLevelType w:val="multilevel"/>
    <w:tmpl w:val="2024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E00FE9"/>
    <w:multiLevelType w:val="multilevel"/>
    <w:tmpl w:val="423EA1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B71"/>
    <w:rsid w:val="00123E41"/>
    <w:rsid w:val="001E4050"/>
    <w:rsid w:val="004B529E"/>
    <w:rsid w:val="004D667B"/>
    <w:rsid w:val="004E6A18"/>
    <w:rsid w:val="005B6214"/>
    <w:rsid w:val="00643B71"/>
    <w:rsid w:val="006A2B35"/>
    <w:rsid w:val="008D673D"/>
    <w:rsid w:val="00CE3825"/>
    <w:rsid w:val="00D0380E"/>
    <w:rsid w:val="00F37D59"/>
    <w:rsid w:val="00F91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B8926A"/>
  <w15:chartTrackingRefBased/>
  <w15:docId w15:val="{119DE2DA-C3C0-E549-8EA2-CFA9C8C8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510"/>
    <w:pPr>
      <w:spacing w:after="160" w:line="480" w:lineRule="auto"/>
    </w:pPr>
    <w:rPr>
      <w:rFonts w:ascii="Times New Roman" w:hAnsi="Times New Roman" w:cs="Times New Roman"/>
    </w:rPr>
  </w:style>
  <w:style w:type="paragraph" w:styleId="Heading1">
    <w:name w:val="heading 1"/>
    <w:basedOn w:val="Normal"/>
    <w:next w:val="Normal"/>
    <w:link w:val="Heading1Char"/>
    <w:uiPriority w:val="9"/>
    <w:qFormat/>
    <w:rsid w:val="00F91510"/>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43B71"/>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3B71"/>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643B7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43B71"/>
    <w:rPr>
      <w:rFonts w:ascii="Arial" w:eastAsia="Times New Roman" w:hAnsi="Arial" w:cs="Arial"/>
      <w:vanish/>
      <w:sz w:val="16"/>
      <w:szCs w:val="16"/>
    </w:rPr>
  </w:style>
  <w:style w:type="paragraph" w:styleId="NormalWeb">
    <w:name w:val="Normal (Web)"/>
    <w:basedOn w:val="Normal"/>
    <w:uiPriority w:val="99"/>
    <w:semiHidden/>
    <w:unhideWhenUsed/>
    <w:rsid w:val="00643B71"/>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643B71"/>
    <w:rPr>
      <w:b/>
      <w:bCs/>
    </w:rPr>
  </w:style>
  <w:style w:type="paragraph" w:customStyle="1" w:styleId="ql-indent-1">
    <w:name w:val="ql-indent-1"/>
    <w:basedOn w:val="Normal"/>
    <w:rsid w:val="00643B71"/>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643B71"/>
    <w:rPr>
      <w:i/>
      <w:iCs/>
    </w:rPr>
  </w:style>
  <w:style w:type="paragraph" w:styleId="z-BottomofForm">
    <w:name w:val="HTML Bottom of Form"/>
    <w:basedOn w:val="Normal"/>
    <w:next w:val="Normal"/>
    <w:link w:val="z-BottomofFormChar"/>
    <w:hidden/>
    <w:uiPriority w:val="99"/>
    <w:semiHidden/>
    <w:unhideWhenUsed/>
    <w:rsid w:val="00643B7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43B71"/>
    <w:rPr>
      <w:rFonts w:ascii="Arial" w:eastAsia="Times New Roman" w:hAnsi="Arial" w:cs="Arial"/>
      <w:vanish/>
      <w:sz w:val="16"/>
      <w:szCs w:val="16"/>
    </w:rPr>
  </w:style>
  <w:style w:type="character" w:styleId="Hyperlink">
    <w:name w:val="Hyperlink"/>
    <w:basedOn w:val="DefaultParagraphFont"/>
    <w:uiPriority w:val="99"/>
    <w:unhideWhenUsed/>
    <w:rsid w:val="00643B71"/>
    <w:rPr>
      <w:color w:val="0563C1" w:themeColor="hyperlink"/>
      <w:u w:val="single"/>
    </w:rPr>
  </w:style>
  <w:style w:type="character" w:styleId="UnresolvedMention">
    <w:name w:val="Unresolved Mention"/>
    <w:basedOn w:val="DefaultParagraphFont"/>
    <w:uiPriority w:val="99"/>
    <w:semiHidden/>
    <w:unhideWhenUsed/>
    <w:rsid w:val="00643B71"/>
    <w:rPr>
      <w:color w:val="605E5C"/>
      <w:shd w:val="clear" w:color="auto" w:fill="E1DFDD"/>
    </w:rPr>
  </w:style>
  <w:style w:type="character" w:customStyle="1" w:styleId="words">
    <w:name w:val="words"/>
    <w:basedOn w:val="DefaultParagraphFont"/>
    <w:rsid w:val="00D0380E"/>
  </w:style>
  <w:style w:type="character" w:customStyle="1" w:styleId="passivevoice">
    <w:name w:val="passivevoice"/>
    <w:basedOn w:val="DefaultParagraphFont"/>
    <w:rsid w:val="00D0380E"/>
  </w:style>
  <w:style w:type="character" w:customStyle="1" w:styleId="Heading1Char">
    <w:name w:val="Heading 1 Char"/>
    <w:basedOn w:val="DefaultParagraphFont"/>
    <w:link w:val="Heading1"/>
    <w:uiPriority w:val="9"/>
    <w:rsid w:val="00F9151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F91510"/>
  </w:style>
  <w:style w:type="paragraph" w:styleId="Header">
    <w:name w:val="header"/>
    <w:basedOn w:val="Normal"/>
    <w:link w:val="HeaderChar"/>
    <w:uiPriority w:val="99"/>
    <w:unhideWhenUsed/>
    <w:rsid w:val="00F91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510"/>
    <w:rPr>
      <w:rFonts w:ascii="Times New Roman" w:hAnsi="Times New Roman" w:cs="Times New Roman"/>
    </w:rPr>
  </w:style>
  <w:style w:type="paragraph" w:styleId="Footer">
    <w:name w:val="footer"/>
    <w:basedOn w:val="Normal"/>
    <w:link w:val="FooterChar"/>
    <w:uiPriority w:val="99"/>
    <w:unhideWhenUsed/>
    <w:rsid w:val="00F91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51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61309">
      <w:bodyDiv w:val="1"/>
      <w:marLeft w:val="0"/>
      <w:marRight w:val="0"/>
      <w:marTop w:val="0"/>
      <w:marBottom w:val="0"/>
      <w:divBdr>
        <w:top w:val="none" w:sz="0" w:space="0" w:color="auto"/>
        <w:left w:val="none" w:sz="0" w:space="0" w:color="auto"/>
        <w:bottom w:val="none" w:sz="0" w:space="0" w:color="auto"/>
        <w:right w:val="none" w:sz="0" w:space="0" w:color="auto"/>
      </w:divBdr>
    </w:div>
    <w:div w:id="230888031">
      <w:bodyDiv w:val="1"/>
      <w:marLeft w:val="0"/>
      <w:marRight w:val="0"/>
      <w:marTop w:val="0"/>
      <w:marBottom w:val="0"/>
      <w:divBdr>
        <w:top w:val="none" w:sz="0" w:space="0" w:color="auto"/>
        <w:left w:val="none" w:sz="0" w:space="0" w:color="auto"/>
        <w:bottom w:val="none" w:sz="0" w:space="0" w:color="auto"/>
        <w:right w:val="none" w:sz="0" w:space="0" w:color="auto"/>
      </w:divBdr>
    </w:div>
    <w:div w:id="426002601">
      <w:bodyDiv w:val="1"/>
      <w:marLeft w:val="0"/>
      <w:marRight w:val="0"/>
      <w:marTop w:val="0"/>
      <w:marBottom w:val="0"/>
      <w:divBdr>
        <w:top w:val="none" w:sz="0" w:space="0" w:color="auto"/>
        <w:left w:val="none" w:sz="0" w:space="0" w:color="auto"/>
        <w:bottom w:val="none" w:sz="0" w:space="0" w:color="auto"/>
        <w:right w:val="none" w:sz="0" w:space="0" w:color="auto"/>
      </w:divBdr>
    </w:div>
    <w:div w:id="450169725">
      <w:bodyDiv w:val="1"/>
      <w:marLeft w:val="0"/>
      <w:marRight w:val="0"/>
      <w:marTop w:val="0"/>
      <w:marBottom w:val="0"/>
      <w:divBdr>
        <w:top w:val="none" w:sz="0" w:space="0" w:color="auto"/>
        <w:left w:val="none" w:sz="0" w:space="0" w:color="auto"/>
        <w:bottom w:val="none" w:sz="0" w:space="0" w:color="auto"/>
        <w:right w:val="none" w:sz="0" w:space="0" w:color="auto"/>
      </w:divBdr>
    </w:div>
    <w:div w:id="594095025">
      <w:bodyDiv w:val="1"/>
      <w:marLeft w:val="0"/>
      <w:marRight w:val="0"/>
      <w:marTop w:val="0"/>
      <w:marBottom w:val="0"/>
      <w:divBdr>
        <w:top w:val="none" w:sz="0" w:space="0" w:color="auto"/>
        <w:left w:val="none" w:sz="0" w:space="0" w:color="auto"/>
        <w:bottom w:val="none" w:sz="0" w:space="0" w:color="auto"/>
        <w:right w:val="none" w:sz="0" w:space="0" w:color="auto"/>
      </w:divBdr>
    </w:div>
    <w:div w:id="1147942125">
      <w:bodyDiv w:val="1"/>
      <w:marLeft w:val="0"/>
      <w:marRight w:val="0"/>
      <w:marTop w:val="0"/>
      <w:marBottom w:val="0"/>
      <w:divBdr>
        <w:top w:val="none" w:sz="0" w:space="0" w:color="auto"/>
        <w:left w:val="none" w:sz="0" w:space="0" w:color="auto"/>
        <w:bottom w:val="none" w:sz="0" w:space="0" w:color="auto"/>
        <w:right w:val="none" w:sz="0" w:space="0" w:color="auto"/>
      </w:divBdr>
      <w:divsChild>
        <w:div w:id="2126462195">
          <w:marLeft w:val="0"/>
          <w:marRight w:val="0"/>
          <w:marTop w:val="0"/>
          <w:marBottom w:val="0"/>
          <w:divBdr>
            <w:top w:val="none" w:sz="0" w:space="0" w:color="auto"/>
            <w:left w:val="none" w:sz="0" w:space="0" w:color="auto"/>
            <w:bottom w:val="none" w:sz="0" w:space="0" w:color="auto"/>
            <w:right w:val="none" w:sz="0" w:space="0" w:color="auto"/>
          </w:divBdr>
        </w:div>
        <w:div w:id="1292982540">
          <w:marLeft w:val="0"/>
          <w:marRight w:val="0"/>
          <w:marTop w:val="0"/>
          <w:marBottom w:val="0"/>
          <w:divBdr>
            <w:top w:val="none" w:sz="0" w:space="0" w:color="auto"/>
            <w:left w:val="none" w:sz="0" w:space="0" w:color="auto"/>
            <w:bottom w:val="none" w:sz="0" w:space="0" w:color="auto"/>
            <w:right w:val="none" w:sz="0" w:space="0" w:color="auto"/>
          </w:divBdr>
          <w:divsChild>
            <w:div w:id="1262909554">
              <w:marLeft w:val="0"/>
              <w:marRight w:val="0"/>
              <w:marTop w:val="0"/>
              <w:marBottom w:val="0"/>
              <w:divBdr>
                <w:top w:val="none" w:sz="0" w:space="0" w:color="auto"/>
                <w:left w:val="none" w:sz="0" w:space="0" w:color="auto"/>
                <w:bottom w:val="none" w:sz="0" w:space="0" w:color="auto"/>
                <w:right w:val="none" w:sz="0" w:space="0" w:color="auto"/>
              </w:divBdr>
              <w:divsChild>
                <w:div w:id="99185347">
                  <w:marLeft w:val="0"/>
                  <w:marRight w:val="0"/>
                  <w:marTop w:val="0"/>
                  <w:marBottom w:val="0"/>
                  <w:divBdr>
                    <w:top w:val="none" w:sz="0" w:space="0" w:color="auto"/>
                    <w:left w:val="none" w:sz="0" w:space="0" w:color="auto"/>
                    <w:bottom w:val="none" w:sz="0" w:space="0" w:color="auto"/>
                    <w:right w:val="none" w:sz="0" w:space="0" w:color="auto"/>
                  </w:divBdr>
                  <w:divsChild>
                    <w:div w:id="2057849561">
                      <w:marLeft w:val="0"/>
                      <w:marRight w:val="0"/>
                      <w:marTop w:val="0"/>
                      <w:marBottom w:val="0"/>
                      <w:divBdr>
                        <w:top w:val="none" w:sz="0" w:space="0" w:color="auto"/>
                        <w:left w:val="none" w:sz="0" w:space="0" w:color="auto"/>
                        <w:bottom w:val="none" w:sz="0" w:space="0" w:color="auto"/>
                        <w:right w:val="none" w:sz="0" w:space="0" w:color="auto"/>
                      </w:divBdr>
                      <w:divsChild>
                        <w:div w:id="1701929520">
                          <w:marLeft w:val="0"/>
                          <w:marRight w:val="0"/>
                          <w:marTop w:val="0"/>
                          <w:marBottom w:val="0"/>
                          <w:divBdr>
                            <w:top w:val="none" w:sz="0" w:space="0" w:color="auto"/>
                            <w:left w:val="none" w:sz="0" w:space="0" w:color="auto"/>
                            <w:bottom w:val="none" w:sz="0" w:space="0" w:color="auto"/>
                            <w:right w:val="none" w:sz="0" w:space="0" w:color="auto"/>
                          </w:divBdr>
                          <w:divsChild>
                            <w:div w:id="15414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04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Bre18</b:Tag>
    <b:SourceType>JournalArticle</b:SourceType>
    <b:Guid>{272ABC35-9C68-415E-804D-5D9067C71C4F}</b:Guid>
    <b:Author>
      <b:Author>
        <b:NameList>
          <b:Person>
            <b:Last>Brewer</b:Last>
            <b:First>Barbara</b:First>
            <b:Middle>B.</b:Middle>
          </b:Person>
          <b:Person>
            <b:Last>Carley</b:Last>
            <b:Middle>M.</b:Middle>
            <b:First>Kathleen</b:First>
          </b:Person>
          <b:Person>
            <b:Last>Benham-Hutchins</b:Last>
            <b:First>Marge</b:First>
          </b:Person>
        </b:NameList>
      </b:Author>
    </b:Author>
    <b:Title>Nursing Unit Design, Nursing Staff Communication Networks, and Patient Falls: Are They Related?</b:Title>
    <b:JournalName>Health Environments Research &amp; Design Journal</b:JournalName>
    <b:Year>2018</b:Year>
    <b:Pages>11(4), Retrieved from https://journals.sagepub.com/doi/10.1177/1937586718779223</b:Pages>
    <b:RefOrder>1</b:RefOrder>
  </b:Source>
  <b:Source>
    <b:Tag>Pec19</b:Tag>
    <b:SourceType>JournalArticle</b:SourceType>
    <b:Guid>{A969BD35-C582-4DA7-A63C-F23F60487D73}</b:Guid>
    <b:Author>
      <b:Author>
        <b:NameList>
          <b:Person>
            <b:Last>Pechey</b:Last>
            <b:First>Rachel</b:First>
          </b:Person>
          <b:Person>
            <b:Last>Jenkins</b:Last>
            <b:First>Holly</b:First>
          </b:Person>
          <b:Person>
            <b:Last>Cartwright</b:Last>
            <b:First>Emma</b:First>
          </b:Person>
          <b:Person>
            <b:Last>Marteau</b:Last>
            <b:Middle>M.</b:Middle>
            <b:First>Theresa</b:First>
          </b:Person>
        </b:NameList>
      </b:Author>
    </b:Author>
    <b:Title>Altering the availability of healthier vs. less healthy items in UK hospital vending machines: a multiple treatment reversal design</b:Title>
    <b:JournalName>Interational Journal of Behavioral Nutrition and Physical Activity</b:JournalName>
    <b:Year>2019</b:Year>
    <b:Pages>16, 772. Retrieved from https://ijbnpa.biomedcentral.com/articles/10.1186/s12966-019-0883-5</b:Pages>
    <b:RefOrder>2</b:RefOrder>
  </b:Source>
</b:Sources>
</file>

<file path=customXml/itemProps1.xml><?xml version="1.0" encoding="utf-8"?>
<ds:datastoreItem xmlns:ds="http://schemas.openxmlformats.org/officeDocument/2006/customXml" ds:itemID="{061573A6-6D20-4549-9F68-8708CD4EF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2020-04-13T16:38:00Z</dcterms:created>
  <dcterms:modified xsi:type="dcterms:W3CDTF">2020-04-13T16:38:00Z</dcterms:modified>
</cp:coreProperties>
</file>