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0C71" w14:textId="0AF05F37" w:rsidR="00922B0F" w:rsidRDefault="006F7CB8" w:rsidP="006F7CB8">
      <w:pPr>
        <w:jc w:val="center"/>
        <w:rPr>
          <w:b/>
          <w:sz w:val="36"/>
        </w:rPr>
      </w:pPr>
      <w:r>
        <w:rPr>
          <w:b/>
          <w:sz w:val="36"/>
        </w:rPr>
        <w:t>Developing Advanced Index-Insuran</w:t>
      </w:r>
      <w:r w:rsidR="00183319">
        <w:rPr>
          <w:b/>
          <w:sz w:val="36"/>
        </w:rPr>
        <w:t>ce Products for Ghanaian Smallh</w:t>
      </w:r>
      <w:r>
        <w:rPr>
          <w:b/>
          <w:sz w:val="36"/>
        </w:rPr>
        <w:t>older Farmers</w:t>
      </w:r>
    </w:p>
    <w:p w14:paraId="56582F61" w14:textId="19F20818" w:rsidR="000239E7" w:rsidRDefault="000239E7" w:rsidP="000239E7">
      <w:pPr>
        <w:spacing w:after="0" w:line="240" w:lineRule="auto"/>
        <w:jc w:val="center"/>
        <w:rPr>
          <w:sz w:val="28"/>
        </w:rPr>
      </w:pPr>
    </w:p>
    <w:p w14:paraId="752D3FBB" w14:textId="77777777" w:rsidR="00C64C87" w:rsidRDefault="00C64C87" w:rsidP="000239E7">
      <w:pPr>
        <w:spacing w:after="0" w:line="240" w:lineRule="auto"/>
        <w:jc w:val="center"/>
        <w:rPr>
          <w:sz w:val="28"/>
        </w:rPr>
      </w:pPr>
    </w:p>
    <w:p w14:paraId="101E7E79" w14:textId="1976B9BB" w:rsidR="009900AE" w:rsidRDefault="000239E7" w:rsidP="000239E7">
      <w:pPr>
        <w:spacing w:after="0" w:line="240" w:lineRule="auto"/>
        <w:jc w:val="center"/>
        <w:rPr>
          <w:sz w:val="28"/>
        </w:rPr>
      </w:pPr>
      <w:r>
        <w:rPr>
          <w:sz w:val="28"/>
        </w:rPr>
        <w:t xml:space="preserve">A proposal submitted </w:t>
      </w:r>
      <w:r w:rsidR="00087741">
        <w:rPr>
          <w:sz w:val="28"/>
        </w:rPr>
        <w:t xml:space="preserve">by The Catholic University of America </w:t>
      </w:r>
      <w:r>
        <w:rPr>
          <w:sz w:val="28"/>
        </w:rPr>
        <w:t xml:space="preserve">to the </w:t>
      </w:r>
      <w:r w:rsidR="009900AE">
        <w:rPr>
          <w:sz w:val="28"/>
        </w:rPr>
        <w:t>Feed the Future Innovation Lab for Assets and Market Access</w:t>
      </w:r>
      <w:r w:rsidR="00D80D0F">
        <w:rPr>
          <w:sz w:val="28"/>
        </w:rPr>
        <w:t xml:space="preserve"> at the University of California at Davis</w:t>
      </w:r>
    </w:p>
    <w:p w14:paraId="7CE6A073" w14:textId="77777777" w:rsidR="009900AE" w:rsidRDefault="009900AE" w:rsidP="000239E7">
      <w:pPr>
        <w:spacing w:after="0" w:line="240" w:lineRule="auto"/>
        <w:jc w:val="center"/>
        <w:rPr>
          <w:sz w:val="28"/>
        </w:rPr>
      </w:pPr>
    </w:p>
    <w:p w14:paraId="26E440C7" w14:textId="77777777" w:rsidR="000239E7" w:rsidRDefault="000239E7" w:rsidP="000239E7">
      <w:pPr>
        <w:spacing w:after="0" w:line="240" w:lineRule="auto"/>
        <w:jc w:val="center"/>
        <w:rPr>
          <w:sz w:val="28"/>
        </w:rPr>
      </w:pPr>
    </w:p>
    <w:p w14:paraId="1D95DA3A" w14:textId="4774B167" w:rsidR="000239E7" w:rsidRDefault="001E0B3B" w:rsidP="000239E7">
      <w:pPr>
        <w:spacing w:after="0" w:line="240" w:lineRule="auto"/>
        <w:jc w:val="center"/>
        <w:rPr>
          <w:sz w:val="28"/>
        </w:rPr>
      </w:pPr>
      <w:r>
        <w:rPr>
          <w:sz w:val="28"/>
        </w:rPr>
        <w:t>September 13</w:t>
      </w:r>
      <w:r w:rsidR="00314D88">
        <w:rPr>
          <w:sz w:val="28"/>
        </w:rPr>
        <w:t>, 2018</w:t>
      </w:r>
    </w:p>
    <w:p w14:paraId="18E1A4EF" w14:textId="77777777" w:rsidR="006F7CB8" w:rsidRDefault="006F7CB8" w:rsidP="006F7CB8">
      <w:pPr>
        <w:jc w:val="center"/>
        <w:rPr>
          <w:b/>
          <w:sz w:val="36"/>
        </w:rPr>
      </w:pPr>
    </w:p>
    <w:p w14:paraId="238131B4" w14:textId="77777777" w:rsidR="009900AE" w:rsidRDefault="009900AE" w:rsidP="009900AE">
      <w:pPr>
        <w:jc w:val="center"/>
        <w:rPr>
          <w:sz w:val="28"/>
        </w:rPr>
      </w:pPr>
    </w:p>
    <w:p w14:paraId="2E5C87CE" w14:textId="77777777" w:rsidR="009900AE" w:rsidRDefault="009900AE" w:rsidP="009900AE">
      <w:pPr>
        <w:jc w:val="center"/>
        <w:rPr>
          <w:sz w:val="28"/>
        </w:rPr>
      </w:pPr>
      <w:r w:rsidRPr="009900AE">
        <w:rPr>
          <w:sz w:val="28"/>
        </w:rPr>
        <w:t>Principle Investigator</w:t>
      </w:r>
    </w:p>
    <w:p w14:paraId="2ED2B344" w14:textId="77777777" w:rsidR="006F7CB8" w:rsidRPr="009900AE" w:rsidRDefault="009900AE" w:rsidP="009900AE">
      <w:pPr>
        <w:spacing w:after="0" w:line="240" w:lineRule="auto"/>
        <w:jc w:val="center"/>
        <w:rPr>
          <w:sz w:val="28"/>
        </w:rPr>
      </w:pPr>
      <w:r>
        <w:rPr>
          <w:sz w:val="28"/>
        </w:rPr>
        <w:t>Richard Gallenstein, Ph.D</w:t>
      </w:r>
    </w:p>
    <w:p w14:paraId="643411D7" w14:textId="77777777" w:rsidR="009900AE" w:rsidRDefault="009900AE" w:rsidP="006F7CB8">
      <w:pPr>
        <w:spacing w:after="0" w:line="240" w:lineRule="auto"/>
        <w:jc w:val="center"/>
        <w:rPr>
          <w:sz w:val="28"/>
        </w:rPr>
      </w:pPr>
      <w:r>
        <w:rPr>
          <w:sz w:val="28"/>
        </w:rPr>
        <w:t xml:space="preserve">Assistant Professor, Department of Economics </w:t>
      </w:r>
    </w:p>
    <w:p w14:paraId="3C9D52A7" w14:textId="77777777" w:rsidR="006F7CB8" w:rsidRDefault="006F7CB8" w:rsidP="006F7CB8">
      <w:pPr>
        <w:spacing w:after="0" w:line="240" w:lineRule="auto"/>
        <w:jc w:val="center"/>
        <w:rPr>
          <w:sz w:val="28"/>
        </w:rPr>
      </w:pPr>
      <w:r>
        <w:rPr>
          <w:sz w:val="28"/>
        </w:rPr>
        <w:t>The Catholic University of America</w:t>
      </w:r>
      <w:r w:rsidR="009900AE">
        <w:rPr>
          <w:sz w:val="28"/>
        </w:rPr>
        <w:t xml:space="preserve">, Washington DC, </w:t>
      </w:r>
      <w:hyperlink r:id="rId8" w:history="1">
        <w:r w:rsidR="009900AE" w:rsidRPr="007F3841">
          <w:rPr>
            <w:rStyle w:val="Hyperlink"/>
            <w:sz w:val="28"/>
          </w:rPr>
          <w:t>gallenstein@cua.edu</w:t>
        </w:r>
      </w:hyperlink>
      <w:r w:rsidR="009900AE">
        <w:rPr>
          <w:sz w:val="28"/>
        </w:rPr>
        <w:t xml:space="preserve"> </w:t>
      </w:r>
      <w:r>
        <w:rPr>
          <w:sz w:val="28"/>
        </w:rPr>
        <w:t xml:space="preserve"> </w:t>
      </w:r>
    </w:p>
    <w:p w14:paraId="7A789992" w14:textId="77777777" w:rsidR="006F7CB8" w:rsidRDefault="006F7CB8" w:rsidP="006F7CB8">
      <w:pPr>
        <w:jc w:val="center"/>
        <w:rPr>
          <w:sz w:val="28"/>
        </w:rPr>
      </w:pPr>
    </w:p>
    <w:p w14:paraId="7FA86C1F" w14:textId="77777777" w:rsidR="006F7CB8" w:rsidRDefault="006F7CB8" w:rsidP="006F7CB8">
      <w:pPr>
        <w:jc w:val="center"/>
        <w:rPr>
          <w:sz w:val="28"/>
        </w:rPr>
      </w:pPr>
    </w:p>
    <w:p w14:paraId="7B48EBA7" w14:textId="77777777" w:rsidR="006F7CB8" w:rsidRDefault="006F7CB8" w:rsidP="006F7CB8">
      <w:pPr>
        <w:spacing w:after="0" w:line="240" w:lineRule="auto"/>
        <w:jc w:val="center"/>
        <w:rPr>
          <w:sz w:val="28"/>
        </w:rPr>
      </w:pPr>
      <w:r>
        <w:rPr>
          <w:sz w:val="28"/>
        </w:rPr>
        <w:t>Key Personnel</w:t>
      </w:r>
    </w:p>
    <w:p w14:paraId="37855264" w14:textId="77777777" w:rsidR="006F7CB8" w:rsidRDefault="006F7CB8" w:rsidP="006F7CB8">
      <w:pPr>
        <w:spacing w:after="0" w:line="240" w:lineRule="auto"/>
        <w:jc w:val="center"/>
        <w:rPr>
          <w:sz w:val="28"/>
        </w:rPr>
      </w:pPr>
    </w:p>
    <w:p w14:paraId="10B68F63" w14:textId="77777777" w:rsidR="006F7CB8" w:rsidRDefault="006F7CB8" w:rsidP="006F7CB8">
      <w:pPr>
        <w:spacing w:after="0" w:line="240" w:lineRule="auto"/>
        <w:jc w:val="center"/>
        <w:rPr>
          <w:sz w:val="28"/>
        </w:rPr>
      </w:pPr>
      <w:r>
        <w:rPr>
          <w:sz w:val="28"/>
        </w:rPr>
        <w:t>Jon Einar Flatnes, Ph.D</w:t>
      </w:r>
    </w:p>
    <w:p w14:paraId="46A78043" w14:textId="77777777" w:rsidR="009900AE" w:rsidRDefault="009900AE" w:rsidP="006F7CB8">
      <w:pPr>
        <w:spacing w:after="0" w:line="240" w:lineRule="auto"/>
        <w:jc w:val="center"/>
        <w:rPr>
          <w:sz w:val="28"/>
        </w:rPr>
      </w:pPr>
      <w:r>
        <w:rPr>
          <w:sz w:val="28"/>
        </w:rPr>
        <w:t>Professor, Dept. of Agricultural, Environmental, and Development Economics</w:t>
      </w:r>
    </w:p>
    <w:p w14:paraId="22F06621" w14:textId="77777777" w:rsidR="006F7CB8" w:rsidRDefault="006F7CB8" w:rsidP="006F7CB8">
      <w:pPr>
        <w:spacing w:after="0" w:line="240" w:lineRule="auto"/>
        <w:jc w:val="center"/>
        <w:rPr>
          <w:sz w:val="28"/>
        </w:rPr>
      </w:pPr>
      <w:r>
        <w:rPr>
          <w:sz w:val="28"/>
        </w:rPr>
        <w:t>The Ohio State University</w:t>
      </w:r>
      <w:r w:rsidR="009900AE">
        <w:rPr>
          <w:sz w:val="28"/>
        </w:rPr>
        <w:t xml:space="preserve">, Columbus Ohio, </w:t>
      </w:r>
      <w:hyperlink r:id="rId9" w:history="1">
        <w:r w:rsidR="0057513A" w:rsidRPr="00BC7A65">
          <w:rPr>
            <w:rStyle w:val="Hyperlink"/>
            <w:sz w:val="28"/>
          </w:rPr>
          <w:t>flatnes.1@osu.edu</w:t>
        </w:r>
      </w:hyperlink>
      <w:r w:rsidR="009900AE">
        <w:rPr>
          <w:sz w:val="28"/>
        </w:rPr>
        <w:t xml:space="preserve"> </w:t>
      </w:r>
    </w:p>
    <w:p w14:paraId="7B8AC704" w14:textId="77777777" w:rsidR="006F7CB8" w:rsidRDefault="006F7CB8" w:rsidP="006F7CB8">
      <w:pPr>
        <w:spacing w:after="0" w:line="240" w:lineRule="auto"/>
        <w:jc w:val="center"/>
        <w:rPr>
          <w:sz w:val="28"/>
        </w:rPr>
      </w:pPr>
    </w:p>
    <w:p w14:paraId="1601EC27" w14:textId="77777777" w:rsidR="009900AE" w:rsidRDefault="009900AE" w:rsidP="006F7CB8">
      <w:pPr>
        <w:spacing w:after="0" w:line="240" w:lineRule="auto"/>
        <w:jc w:val="center"/>
        <w:rPr>
          <w:sz w:val="28"/>
        </w:rPr>
      </w:pPr>
    </w:p>
    <w:p w14:paraId="62CD45D8" w14:textId="77777777" w:rsidR="003E7DD8" w:rsidRDefault="003E7DD8" w:rsidP="006F7CB8">
      <w:pPr>
        <w:spacing w:after="0" w:line="240" w:lineRule="auto"/>
        <w:jc w:val="center"/>
        <w:rPr>
          <w:sz w:val="28"/>
        </w:rPr>
      </w:pPr>
    </w:p>
    <w:p w14:paraId="77FD59B7" w14:textId="77777777" w:rsidR="003E7DD8" w:rsidRDefault="003E7DD8" w:rsidP="006F7CB8">
      <w:pPr>
        <w:spacing w:after="0" w:line="240" w:lineRule="auto"/>
        <w:jc w:val="center"/>
        <w:rPr>
          <w:sz w:val="28"/>
        </w:rPr>
      </w:pPr>
    </w:p>
    <w:p w14:paraId="4D67B10C" w14:textId="77777777" w:rsidR="003E7DD8" w:rsidRDefault="003E7DD8" w:rsidP="006F7CB8">
      <w:pPr>
        <w:spacing w:after="0" w:line="240" w:lineRule="auto"/>
        <w:jc w:val="center"/>
        <w:rPr>
          <w:sz w:val="28"/>
        </w:rPr>
      </w:pPr>
    </w:p>
    <w:p w14:paraId="1E000509" w14:textId="77777777" w:rsidR="006F7CB8" w:rsidRDefault="006F7CB8" w:rsidP="006F7CB8">
      <w:pPr>
        <w:spacing w:after="0" w:line="240" w:lineRule="auto"/>
        <w:jc w:val="center"/>
        <w:rPr>
          <w:sz w:val="28"/>
        </w:rPr>
      </w:pPr>
    </w:p>
    <w:p w14:paraId="01CDDE6C" w14:textId="77777777" w:rsidR="006F7CB8" w:rsidRDefault="006F7CB8" w:rsidP="006F7CB8">
      <w:pPr>
        <w:spacing w:after="0" w:line="240" w:lineRule="auto"/>
        <w:jc w:val="center"/>
        <w:rPr>
          <w:sz w:val="28"/>
        </w:rPr>
      </w:pPr>
    </w:p>
    <w:p w14:paraId="51DA98E5" w14:textId="77777777" w:rsidR="006F7CB8" w:rsidRDefault="006F7CB8" w:rsidP="009900AE">
      <w:pPr>
        <w:spacing w:after="0" w:line="240" w:lineRule="auto"/>
        <w:rPr>
          <w:sz w:val="28"/>
        </w:rPr>
      </w:pPr>
    </w:p>
    <w:p w14:paraId="4A2863DB" w14:textId="77777777" w:rsidR="009900AE" w:rsidRDefault="009900AE" w:rsidP="009900AE">
      <w:pPr>
        <w:spacing w:after="0" w:line="240" w:lineRule="auto"/>
        <w:rPr>
          <w:sz w:val="28"/>
        </w:rPr>
      </w:pPr>
    </w:p>
    <w:p w14:paraId="0A8BB129" w14:textId="77777777" w:rsidR="00435AFE" w:rsidRDefault="00435AFE" w:rsidP="009900AE">
      <w:pPr>
        <w:spacing w:after="0" w:line="240" w:lineRule="auto"/>
        <w:rPr>
          <w:sz w:val="28"/>
        </w:rPr>
      </w:pPr>
    </w:p>
    <w:p w14:paraId="2C183B40" w14:textId="77777777" w:rsidR="009900AE" w:rsidRDefault="009900AE" w:rsidP="009900AE">
      <w:pPr>
        <w:spacing w:after="0" w:line="240" w:lineRule="auto"/>
        <w:rPr>
          <w:sz w:val="28"/>
        </w:rPr>
      </w:pPr>
    </w:p>
    <w:p w14:paraId="38A5D96C" w14:textId="6588392C" w:rsidR="006F7CB8" w:rsidRPr="00E65CDD" w:rsidRDefault="006F7CB8" w:rsidP="00E65CDD">
      <w:pPr>
        <w:pStyle w:val="ListParagraph"/>
        <w:numPr>
          <w:ilvl w:val="0"/>
          <w:numId w:val="13"/>
        </w:numPr>
        <w:spacing w:after="0" w:line="240" w:lineRule="auto"/>
        <w:rPr>
          <w:b/>
          <w:sz w:val="24"/>
        </w:rPr>
      </w:pPr>
      <w:r w:rsidRPr="00E65CDD">
        <w:rPr>
          <w:b/>
          <w:sz w:val="24"/>
        </w:rPr>
        <w:t>Introduction</w:t>
      </w:r>
    </w:p>
    <w:p w14:paraId="4D92CF89" w14:textId="77777777" w:rsidR="006F7CB8" w:rsidRDefault="006F7CB8" w:rsidP="006F7CB8">
      <w:pPr>
        <w:spacing w:after="0" w:line="240" w:lineRule="auto"/>
        <w:rPr>
          <w:b/>
          <w:sz w:val="24"/>
        </w:rPr>
      </w:pPr>
    </w:p>
    <w:p w14:paraId="1430A9AB" w14:textId="77777777" w:rsidR="006F7CB8" w:rsidRDefault="006F7CB8" w:rsidP="006F7CB8">
      <w:pPr>
        <w:spacing w:after="0" w:line="240" w:lineRule="auto"/>
        <w:rPr>
          <w:sz w:val="24"/>
        </w:rPr>
      </w:pPr>
    </w:p>
    <w:p w14:paraId="29E9B201" w14:textId="741FEE47" w:rsidR="00435AFE" w:rsidRPr="00A91EFF" w:rsidRDefault="00435AFE" w:rsidP="00053FA8">
      <w:pPr>
        <w:spacing w:after="0" w:line="240" w:lineRule="auto"/>
        <w:jc w:val="both"/>
        <w:rPr>
          <w:rFonts w:ascii="Calibri" w:hAnsi="Calibri"/>
          <w:sz w:val="24"/>
        </w:rPr>
      </w:pPr>
      <w:r>
        <w:rPr>
          <w:sz w:val="24"/>
        </w:rPr>
        <w:t>Agricultural development remains</w:t>
      </w:r>
      <w:r w:rsidR="002C13F6">
        <w:rPr>
          <w:sz w:val="24"/>
        </w:rPr>
        <w:t xml:space="preserve"> an important component of the overall development strateg</w:t>
      </w:r>
      <w:r w:rsidR="00C1071F">
        <w:rPr>
          <w:sz w:val="24"/>
        </w:rPr>
        <w:t>y of Ghana and other agrarian economies in sub-Saharan Africa</w:t>
      </w:r>
      <w:r w:rsidR="002C13F6">
        <w:rPr>
          <w:sz w:val="24"/>
        </w:rPr>
        <w:t>. The agricultural sector contribute</w:t>
      </w:r>
      <w:r w:rsidR="00C1071F">
        <w:rPr>
          <w:sz w:val="24"/>
        </w:rPr>
        <w:t xml:space="preserve">s 23% </w:t>
      </w:r>
      <w:r w:rsidR="002C13F6">
        <w:rPr>
          <w:sz w:val="24"/>
        </w:rPr>
        <w:t>of GPD and</w:t>
      </w:r>
      <w:r w:rsidR="00C1071F">
        <w:rPr>
          <w:sz w:val="24"/>
        </w:rPr>
        <w:t xml:space="preserve"> over 50% of</w:t>
      </w:r>
      <w:r w:rsidR="002C13F6">
        <w:rPr>
          <w:sz w:val="24"/>
        </w:rPr>
        <w:t xml:space="preserve"> employment in </w:t>
      </w:r>
      <w:r w:rsidR="00C1071F">
        <w:rPr>
          <w:sz w:val="24"/>
        </w:rPr>
        <w:t>Ghana as of 2012</w:t>
      </w:r>
      <w:r w:rsidR="00C64C87">
        <w:rPr>
          <w:sz w:val="24"/>
        </w:rPr>
        <w:t xml:space="preserve"> </w:t>
      </w:r>
      <w:r w:rsidR="00C1071F">
        <w:rPr>
          <w:sz w:val="24"/>
        </w:rPr>
        <w:fldChar w:fldCharType="begin"/>
      </w:r>
      <w:r w:rsidR="00053FA8">
        <w:rPr>
          <w:sz w:val="24"/>
        </w:rPr>
        <w:instrText xml:space="preserve"> ADDIN ZOTERO_ITEM CSL_CITATION {"citationID":"rRBSZJvA","properties":{"formattedCitation":"(Anon n.d.)","plainCitation":"(Anon n.d.)"},"citationItems":[{"id":11,"uris":["http://zotero.org/users/local/pTcjkc4Y/items/VDPZLVIM"],"uri":["http://zotero.org/users/local/pTcjkc4Y/items/VDPZLVIM"],"itemData":{"id":11,"type":"article","title":"Ghana Living Standards Survey Round 6 Main Report"}}],"schema":"https://github.com/citation-style-language/schema/raw/master/csl-citation.json"} </w:instrText>
      </w:r>
      <w:r w:rsidR="00C1071F">
        <w:rPr>
          <w:sz w:val="24"/>
        </w:rPr>
        <w:fldChar w:fldCharType="separate"/>
      </w:r>
      <w:r w:rsidR="00FA3CCB">
        <w:rPr>
          <w:rFonts w:ascii="Calibri" w:hAnsi="Calibri"/>
          <w:sz w:val="24"/>
        </w:rPr>
        <w:t>(Ghana Statistical Service 2014</w:t>
      </w:r>
      <w:r w:rsidR="00C1071F" w:rsidRPr="00C1071F">
        <w:rPr>
          <w:rFonts w:ascii="Calibri" w:hAnsi="Calibri"/>
          <w:sz w:val="24"/>
        </w:rPr>
        <w:t>)</w:t>
      </w:r>
      <w:r w:rsidR="00C1071F">
        <w:rPr>
          <w:sz w:val="24"/>
        </w:rPr>
        <w:fldChar w:fldCharType="end"/>
      </w:r>
      <w:r w:rsidR="002C13F6">
        <w:rPr>
          <w:sz w:val="24"/>
        </w:rPr>
        <w:t>. Furthermo</w:t>
      </w:r>
      <w:r w:rsidR="00C64C87">
        <w:rPr>
          <w:sz w:val="24"/>
        </w:rPr>
        <w:t>re, the agricultural sector is</w:t>
      </w:r>
      <w:r w:rsidR="002C13F6">
        <w:rPr>
          <w:sz w:val="24"/>
        </w:rPr>
        <w:t xml:space="preserve"> typically d</w:t>
      </w:r>
      <w:r w:rsidR="00C64C87">
        <w:rPr>
          <w:sz w:val="24"/>
        </w:rPr>
        <w:t>ominated by smallholder farmers using rain-</w:t>
      </w:r>
      <w:r w:rsidR="00053FA8">
        <w:rPr>
          <w:sz w:val="24"/>
        </w:rPr>
        <w:t>fed agricultural practices on plots often less than one hectare</w:t>
      </w:r>
      <w:r w:rsidR="002C13F6">
        <w:rPr>
          <w:sz w:val="24"/>
        </w:rPr>
        <w:t xml:space="preserve"> </w:t>
      </w:r>
      <w:r w:rsidR="00053FA8">
        <w:rPr>
          <w:sz w:val="24"/>
        </w:rPr>
        <w:fldChar w:fldCharType="begin"/>
      </w:r>
      <w:r w:rsidR="00053FA8">
        <w:rPr>
          <w:sz w:val="24"/>
        </w:rPr>
        <w:instrText xml:space="preserve"> ADDIN ZOTERO_ITEM CSL_CITATION {"citationID":"jSMux2H8","properties":{"formattedCitation":"(Anon n.d.; Anon n.d.)","plainCitation":"(Anon n.d.; Anon n.d.)"},"citationItems":[{"id":10,"uris":["http://zotero.org/users/local/pTcjkc4Y/items/CHA6R2CP"],"uri":["http://zotero.org/users/local/pTcjkc4Y/items/CHA6R2CP"],"itemData":{"id":10,"type":"article","title":"FAO Economic Lives of the Smallholder Farmer.pdf"},"label":"page"},{"id":3,"uris":["http://zotero.org/users/local/pTcjkc4Y/items/QCYW79RH"],"uri":["http://zotero.org/users/local/pTcjkc4Y/items/QCYW79RH"],"itemData":{"id":3,"type":"article","title":"AGRICULTURE-IN-GHANA-FF-2012-nov-2013 (1).pdf"},"label":"page"}],"schema":"https://github.com/citation-style-language/schema/raw/master/csl-citation.json"} </w:instrText>
      </w:r>
      <w:r w:rsidR="00053FA8">
        <w:rPr>
          <w:sz w:val="24"/>
        </w:rPr>
        <w:fldChar w:fldCharType="separate"/>
      </w:r>
      <w:r w:rsidR="00053FA8">
        <w:rPr>
          <w:rFonts w:ascii="Calibri" w:hAnsi="Calibri" w:cs="Calibri"/>
          <w:sz w:val="24"/>
        </w:rPr>
        <w:t>(FAO 2015</w:t>
      </w:r>
      <w:r w:rsidR="00053FA8" w:rsidRPr="00053FA8">
        <w:rPr>
          <w:rFonts w:ascii="Calibri" w:hAnsi="Calibri" w:cs="Calibri"/>
          <w:sz w:val="24"/>
        </w:rPr>
        <w:t xml:space="preserve">; </w:t>
      </w:r>
      <w:r w:rsidR="00053FA8">
        <w:rPr>
          <w:rFonts w:ascii="Calibri" w:hAnsi="Calibri" w:cs="Calibri"/>
          <w:sz w:val="24"/>
        </w:rPr>
        <w:t>Minis</w:t>
      </w:r>
      <w:r w:rsidR="00A524D9">
        <w:rPr>
          <w:rFonts w:ascii="Calibri" w:hAnsi="Calibri" w:cs="Calibri"/>
          <w:sz w:val="24"/>
        </w:rPr>
        <w:t>try of Food and Agriculture 2012</w:t>
      </w:r>
      <w:r w:rsidR="00053FA8" w:rsidRPr="00053FA8">
        <w:rPr>
          <w:rFonts w:ascii="Calibri" w:hAnsi="Calibri" w:cs="Calibri"/>
          <w:sz w:val="24"/>
        </w:rPr>
        <w:t>)</w:t>
      </w:r>
      <w:r w:rsidR="00053FA8">
        <w:rPr>
          <w:sz w:val="24"/>
        </w:rPr>
        <w:fldChar w:fldCharType="end"/>
      </w:r>
      <w:r w:rsidR="00680089">
        <w:rPr>
          <w:sz w:val="24"/>
        </w:rPr>
        <w:t>. S</w:t>
      </w:r>
      <w:r w:rsidR="002C13F6">
        <w:rPr>
          <w:sz w:val="24"/>
        </w:rPr>
        <w:t xml:space="preserve">mallholder agriculture provides incomes for a significant proportion of the African population and is the </w:t>
      </w:r>
      <w:r w:rsidR="00424B8E">
        <w:rPr>
          <w:sz w:val="24"/>
        </w:rPr>
        <w:t>primary</w:t>
      </w:r>
      <w:r w:rsidR="002C13F6">
        <w:rPr>
          <w:sz w:val="24"/>
        </w:rPr>
        <w:t xml:space="preserve"> producer of food for the continent. Therefore, improving yields, incomes, and livelihoods </w:t>
      </w:r>
      <w:r w:rsidR="00424B8E">
        <w:rPr>
          <w:sz w:val="24"/>
        </w:rPr>
        <w:t>among</w:t>
      </w:r>
      <w:r w:rsidR="002C13F6">
        <w:rPr>
          <w:sz w:val="24"/>
        </w:rPr>
        <w:t xml:space="preserve"> smallholder farmers in sub-Saharan Africa </w:t>
      </w:r>
      <w:r w:rsidR="00680089">
        <w:rPr>
          <w:sz w:val="24"/>
        </w:rPr>
        <w:t>has the potential to</w:t>
      </w:r>
      <w:r w:rsidR="002C13F6">
        <w:rPr>
          <w:sz w:val="24"/>
        </w:rPr>
        <w:t xml:space="preserve"> significant</w:t>
      </w:r>
      <w:r w:rsidR="00680089">
        <w:rPr>
          <w:sz w:val="24"/>
        </w:rPr>
        <w:t>ly reduce poverty, food insecurity, and improve economic growth.</w:t>
      </w:r>
      <w:r w:rsidR="002C13F6">
        <w:rPr>
          <w:sz w:val="24"/>
        </w:rPr>
        <w:t xml:space="preserve"> </w:t>
      </w:r>
    </w:p>
    <w:p w14:paraId="055EA2A3" w14:textId="77777777" w:rsidR="004C4226" w:rsidRDefault="004C4226" w:rsidP="00053FA8">
      <w:pPr>
        <w:spacing w:after="0" w:line="240" w:lineRule="auto"/>
        <w:jc w:val="both"/>
        <w:rPr>
          <w:sz w:val="24"/>
        </w:rPr>
      </w:pPr>
    </w:p>
    <w:p w14:paraId="1A920BA1" w14:textId="0584D421" w:rsidR="002C13F6" w:rsidRDefault="002C13F6" w:rsidP="00053FA8">
      <w:pPr>
        <w:spacing w:after="0" w:line="240" w:lineRule="auto"/>
        <w:jc w:val="both"/>
        <w:rPr>
          <w:sz w:val="24"/>
        </w:rPr>
      </w:pPr>
      <w:r>
        <w:rPr>
          <w:sz w:val="24"/>
        </w:rPr>
        <w:t xml:space="preserve">Among the many </w:t>
      </w:r>
      <w:r w:rsidR="00680089">
        <w:rPr>
          <w:sz w:val="24"/>
        </w:rPr>
        <w:t xml:space="preserve">barriers </w:t>
      </w:r>
      <w:r>
        <w:rPr>
          <w:sz w:val="24"/>
        </w:rPr>
        <w:t xml:space="preserve">to productive and profitable </w:t>
      </w:r>
      <w:r w:rsidR="00680089">
        <w:rPr>
          <w:sz w:val="24"/>
        </w:rPr>
        <w:t xml:space="preserve">smallholder </w:t>
      </w:r>
      <w:r>
        <w:rPr>
          <w:sz w:val="24"/>
        </w:rPr>
        <w:t xml:space="preserve">agriculture in sub-Saharan Africa is risk. Smallholder agricultural production faces numerous risks such as droughts, hail, strong winds, and other adverse weather shocks as well as pests, diseases, livestock damage, and price fluctuations. </w:t>
      </w:r>
      <w:r w:rsidR="00424B8E">
        <w:rPr>
          <w:sz w:val="24"/>
        </w:rPr>
        <w:t>Agricultural production risks reduce investment in advanced production technologies</w:t>
      </w:r>
      <w:r w:rsidR="00053FA8">
        <w:rPr>
          <w:sz w:val="24"/>
        </w:rPr>
        <w:t xml:space="preserve"> </w:t>
      </w:r>
      <w:r w:rsidR="00424B8E">
        <w:rPr>
          <w:sz w:val="24"/>
        </w:rPr>
        <w:t xml:space="preserve">(Cole et al. 2013, Karlan 2014) and can serve as a barrier to access to </w:t>
      </w:r>
      <w:r w:rsidR="00C64C87">
        <w:rPr>
          <w:sz w:val="24"/>
        </w:rPr>
        <w:t>the credit needed to</w:t>
      </w:r>
      <w:r w:rsidR="00424B8E">
        <w:rPr>
          <w:sz w:val="24"/>
        </w:rPr>
        <w:t xml:space="preserve"> finance investments in agriculture (Mishra et al. 2018, Miranda and Farrin 2015, Carter et al. 2016). Therefore, managing risk has the potential to significantly improve farmer incomes, yields, and welfare. </w:t>
      </w:r>
    </w:p>
    <w:p w14:paraId="6FD4CCBE" w14:textId="77777777" w:rsidR="00424B8E" w:rsidRDefault="00424B8E" w:rsidP="00053FA8">
      <w:pPr>
        <w:spacing w:after="0" w:line="240" w:lineRule="auto"/>
        <w:jc w:val="both"/>
        <w:rPr>
          <w:sz w:val="24"/>
        </w:rPr>
      </w:pPr>
    </w:p>
    <w:p w14:paraId="51BF8A23" w14:textId="7C4C3415" w:rsidR="00435AFE" w:rsidRDefault="00680089" w:rsidP="0090513F">
      <w:pPr>
        <w:spacing w:after="0" w:line="240" w:lineRule="auto"/>
        <w:jc w:val="both"/>
        <w:rPr>
          <w:sz w:val="24"/>
        </w:rPr>
      </w:pPr>
      <w:r>
        <w:rPr>
          <w:sz w:val="24"/>
        </w:rPr>
        <w:t>A</w:t>
      </w:r>
      <w:r w:rsidR="00424B8E">
        <w:rPr>
          <w:sz w:val="24"/>
        </w:rPr>
        <w:t xml:space="preserve"> risk management tool </w:t>
      </w:r>
      <w:r>
        <w:rPr>
          <w:sz w:val="24"/>
        </w:rPr>
        <w:t>with</w:t>
      </w:r>
      <w:r w:rsidR="00424B8E">
        <w:rPr>
          <w:sz w:val="24"/>
        </w:rPr>
        <w:t xml:space="preserve"> tremendous potential to manage smallholder risks in a cost effective way</w:t>
      </w:r>
      <w:r>
        <w:rPr>
          <w:sz w:val="24"/>
        </w:rPr>
        <w:t xml:space="preserve"> is index insurance</w:t>
      </w:r>
      <w:r w:rsidR="00424B8E">
        <w:rPr>
          <w:sz w:val="24"/>
        </w:rPr>
        <w:t>. By making payouts based on an objective index, index insurance avoids moral hazard, adverse selection, and high transaction costs that make indemnity insurance infeasible for smallholder farmers (Miranda and Farrin 2012). Howeve</w:t>
      </w:r>
      <w:r w:rsidR="00C64C87">
        <w:rPr>
          <w:sz w:val="24"/>
        </w:rPr>
        <w:t xml:space="preserve">r, </w:t>
      </w:r>
      <w:r w:rsidR="00424B8E">
        <w:rPr>
          <w:sz w:val="24"/>
        </w:rPr>
        <w:t>results</w:t>
      </w:r>
      <w:r w:rsidR="00C64C87">
        <w:rPr>
          <w:sz w:val="24"/>
        </w:rPr>
        <w:t xml:space="preserve"> have been mixed</w:t>
      </w:r>
      <w:r w:rsidR="00424B8E">
        <w:rPr>
          <w:sz w:val="24"/>
        </w:rPr>
        <w:t xml:space="preserve"> regarding demand for and adoption of index insurance despite robust</w:t>
      </w:r>
      <w:r w:rsidR="00AA7BE3">
        <w:rPr>
          <w:sz w:val="24"/>
        </w:rPr>
        <w:t xml:space="preserve"> evidence of positive impacts of adoption on</w:t>
      </w:r>
      <w:r w:rsidR="00424B8E">
        <w:rPr>
          <w:sz w:val="24"/>
        </w:rPr>
        <w:t xml:space="preserve"> advanced production technologies, credit access</w:t>
      </w:r>
      <w:r w:rsidR="00C64C87">
        <w:rPr>
          <w:sz w:val="24"/>
        </w:rPr>
        <w:t>,</w:t>
      </w:r>
      <w:r w:rsidR="00424B8E">
        <w:rPr>
          <w:sz w:val="24"/>
        </w:rPr>
        <w:t xml:space="preserve"> and welfare (Karlan 2014; Cole et al. 2013; Mishra et al. 2018; Mobarak and Rosenzweig 2013; Cai et al. 2015; Elabed and Carter 2015)</w:t>
      </w:r>
      <w:r>
        <w:rPr>
          <w:sz w:val="24"/>
        </w:rPr>
        <w:t xml:space="preserve">. </w:t>
      </w:r>
      <w:r w:rsidR="00424B8E">
        <w:rPr>
          <w:sz w:val="24"/>
        </w:rPr>
        <w:t>The critical b</w:t>
      </w:r>
      <w:r w:rsidR="00AA7BE3">
        <w:rPr>
          <w:sz w:val="24"/>
        </w:rPr>
        <w:t xml:space="preserve">arrier to improved adoption </w:t>
      </w:r>
      <w:r w:rsidR="00424B8E">
        <w:rPr>
          <w:sz w:val="24"/>
        </w:rPr>
        <w:t xml:space="preserve">of index insurance is basis risk. Basis risk is the imperfect correlation between </w:t>
      </w:r>
      <w:r w:rsidR="004C4226">
        <w:rPr>
          <w:sz w:val="24"/>
        </w:rPr>
        <w:t xml:space="preserve">the insurance index and the </w:t>
      </w:r>
      <w:r w:rsidR="00C64C87">
        <w:rPr>
          <w:sz w:val="24"/>
        </w:rPr>
        <w:t>policyholder’s yields</w:t>
      </w:r>
      <w:r w:rsidR="004C4226">
        <w:rPr>
          <w:sz w:val="24"/>
        </w:rPr>
        <w:t xml:space="preserve">. Basis risk reduces demand among risk averse and ambiguity averse agents who wish to avoid the prospect of paying for insurance and then suffering losses without a commensurate insurance payout </w:t>
      </w:r>
      <w:r w:rsidR="00435AFE">
        <w:rPr>
          <w:sz w:val="24"/>
        </w:rPr>
        <w:t>(Carter 2011; Carter, Elabed and Serfilippi 2015;</w:t>
      </w:r>
      <w:r w:rsidR="004C4226">
        <w:rPr>
          <w:sz w:val="24"/>
        </w:rPr>
        <w:t xml:space="preserve"> </w:t>
      </w:r>
      <w:r w:rsidR="00435AFE">
        <w:rPr>
          <w:sz w:val="24"/>
        </w:rPr>
        <w:t>Clark 2016)</w:t>
      </w:r>
      <w:r w:rsidR="004C4226">
        <w:rPr>
          <w:sz w:val="24"/>
        </w:rPr>
        <w:t xml:space="preserve">. Insurance policies with significant basis risk are </w:t>
      </w:r>
      <w:r w:rsidR="009568EF">
        <w:rPr>
          <w:sz w:val="24"/>
        </w:rPr>
        <w:t>comparable to</w:t>
      </w:r>
      <w:r w:rsidR="004C4226">
        <w:rPr>
          <w:sz w:val="24"/>
        </w:rPr>
        <w:t xml:space="preserve"> than expensive lottery tickets that confer little benefit to </w:t>
      </w:r>
      <w:r>
        <w:rPr>
          <w:sz w:val="24"/>
        </w:rPr>
        <w:t xml:space="preserve">risk averse </w:t>
      </w:r>
      <w:r w:rsidR="00AA7BE3">
        <w:rPr>
          <w:sz w:val="24"/>
        </w:rPr>
        <w:t>policyholders</w:t>
      </w:r>
      <w:r w:rsidR="004C4226">
        <w:rPr>
          <w:sz w:val="24"/>
        </w:rPr>
        <w:t xml:space="preserve"> </w:t>
      </w:r>
      <w:r w:rsidR="00AA7BE3">
        <w:rPr>
          <w:sz w:val="24"/>
        </w:rPr>
        <w:t xml:space="preserve">even </w:t>
      </w:r>
      <w:r w:rsidR="004C4226">
        <w:rPr>
          <w:sz w:val="24"/>
        </w:rPr>
        <w:t xml:space="preserve">at actuarially fair prices. </w:t>
      </w:r>
    </w:p>
    <w:p w14:paraId="3C2336F5" w14:textId="77777777" w:rsidR="004C4226" w:rsidRDefault="004C4226" w:rsidP="0090513F">
      <w:pPr>
        <w:spacing w:after="0" w:line="240" w:lineRule="auto"/>
        <w:jc w:val="both"/>
        <w:rPr>
          <w:sz w:val="24"/>
        </w:rPr>
      </w:pPr>
    </w:p>
    <w:p w14:paraId="2E003178" w14:textId="4F663CF9" w:rsidR="004C4226" w:rsidRPr="00802307" w:rsidRDefault="004C4226" w:rsidP="0090513F">
      <w:pPr>
        <w:spacing w:after="0" w:line="240" w:lineRule="auto"/>
        <w:jc w:val="both"/>
        <w:rPr>
          <w:sz w:val="24"/>
        </w:rPr>
      </w:pPr>
      <w:r>
        <w:rPr>
          <w:sz w:val="24"/>
        </w:rPr>
        <w:t xml:space="preserve">In this project, we propose to develop </w:t>
      </w:r>
      <w:r w:rsidR="00680089">
        <w:rPr>
          <w:sz w:val="24"/>
        </w:rPr>
        <w:t>in</w:t>
      </w:r>
      <w:r>
        <w:rPr>
          <w:sz w:val="24"/>
        </w:rPr>
        <w:t>dex insurance policies</w:t>
      </w:r>
      <w:r w:rsidR="00680089">
        <w:rPr>
          <w:sz w:val="24"/>
        </w:rPr>
        <w:t xml:space="preserve"> that minimize basis risk</w:t>
      </w:r>
      <w:r>
        <w:rPr>
          <w:sz w:val="24"/>
        </w:rPr>
        <w:t xml:space="preserve"> to improve demand a</w:t>
      </w:r>
      <w:r w:rsidR="00680089">
        <w:rPr>
          <w:sz w:val="24"/>
        </w:rPr>
        <w:t>nd impact of index insurance in</w:t>
      </w:r>
      <w:r>
        <w:rPr>
          <w:sz w:val="24"/>
        </w:rPr>
        <w:t xml:space="preserve"> Ghana. We plan to use household, remote sensing, and other regional data sources to produce multiple indices and index insurance products that improve the perform</w:t>
      </w:r>
      <w:r w:rsidR="009568EF">
        <w:rPr>
          <w:sz w:val="24"/>
        </w:rPr>
        <w:t>ance of index insurance</w:t>
      </w:r>
      <w:r>
        <w:rPr>
          <w:sz w:val="24"/>
        </w:rPr>
        <w:t xml:space="preserve"> in the country. </w:t>
      </w:r>
      <w:r w:rsidR="00053FA8">
        <w:rPr>
          <w:sz w:val="24"/>
        </w:rPr>
        <w:t xml:space="preserve">Specifically, we first intend to develop advanced area yield indices using remote sensing data and calibrated using household level data from northern Ghana. Next we will develop price indices using regional price data and </w:t>
      </w:r>
      <w:r w:rsidR="00053FA8">
        <w:rPr>
          <w:sz w:val="24"/>
        </w:rPr>
        <w:lastRenderedPageBreak/>
        <w:t>combine these with area yield indices to create area revenue indices. Then we will develop reven</w:t>
      </w:r>
      <w:r w:rsidR="00680089">
        <w:rPr>
          <w:sz w:val="24"/>
        </w:rPr>
        <w:t>ue index insurance products</w:t>
      </w:r>
      <w:r w:rsidR="00053FA8">
        <w:rPr>
          <w:sz w:val="24"/>
        </w:rPr>
        <w:t xml:space="preserve">. </w:t>
      </w:r>
      <w:r w:rsidR="009568EF">
        <w:rPr>
          <w:sz w:val="24"/>
        </w:rPr>
        <w:t xml:space="preserve">Finally, we intend to market our advanced products and evaluate demand. </w:t>
      </w:r>
    </w:p>
    <w:p w14:paraId="5876819D" w14:textId="12720E8B" w:rsidR="006F7CB8" w:rsidRDefault="004C4226" w:rsidP="0090513F">
      <w:pPr>
        <w:spacing w:after="0" w:line="240" w:lineRule="auto"/>
        <w:jc w:val="both"/>
        <w:rPr>
          <w:b/>
          <w:sz w:val="24"/>
        </w:rPr>
      </w:pPr>
      <w:r>
        <w:rPr>
          <w:b/>
          <w:sz w:val="24"/>
        </w:rPr>
        <w:t xml:space="preserve"> </w:t>
      </w:r>
    </w:p>
    <w:p w14:paraId="3CA4991A" w14:textId="1192538A" w:rsidR="00F5142F" w:rsidRDefault="00F5142F" w:rsidP="0090513F">
      <w:pPr>
        <w:spacing w:after="0" w:line="240" w:lineRule="auto"/>
        <w:jc w:val="both"/>
        <w:rPr>
          <w:b/>
          <w:sz w:val="24"/>
        </w:rPr>
      </w:pPr>
    </w:p>
    <w:p w14:paraId="359B877C" w14:textId="799964B1" w:rsidR="00F5142F" w:rsidRPr="00E65CDD" w:rsidRDefault="00F5142F" w:rsidP="00E65CDD">
      <w:pPr>
        <w:pStyle w:val="ListParagraph"/>
        <w:numPr>
          <w:ilvl w:val="0"/>
          <w:numId w:val="13"/>
        </w:numPr>
        <w:spacing w:after="0" w:line="240" w:lineRule="auto"/>
        <w:jc w:val="both"/>
        <w:rPr>
          <w:b/>
          <w:sz w:val="24"/>
        </w:rPr>
      </w:pPr>
      <w:r w:rsidRPr="00E65CDD">
        <w:rPr>
          <w:b/>
          <w:sz w:val="24"/>
        </w:rPr>
        <w:t>The Need for Improved Area Yields</w:t>
      </w:r>
    </w:p>
    <w:p w14:paraId="377CC780" w14:textId="72515E7C" w:rsidR="00F5142F" w:rsidRDefault="00F5142F" w:rsidP="00F5142F">
      <w:pPr>
        <w:spacing w:after="0" w:line="240" w:lineRule="auto"/>
        <w:jc w:val="both"/>
        <w:rPr>
          <w:b/>
          <w:sz w:val="24"/>
        </w:rPr>
      </w:pPr>
    </w:p>
    <w:p w14:paraId="5806410A" w14:textId="31BB6C44" w:rsidR="00E86D66" w:rsidRDefault="00E86D66" w:rsidP="00F5142F">
      <w:pPr>
        <w:spacing w:after="0" w:line="240" w:lineRule="auto"/>
        <w:jc w:val="both"/>
        <w:rPr>
          <w:sz w:val="24"/>
        </w:rPr>
      </w:pPr>
      <w:r>
        <w:rPr>
          <w:sz w:val="24"/>
        </w:rPr>
        <w:t xml:space="preserve">Basis risk poses perhaps the greatest threat to demand for and effectiveness of index insurance policies. </w:t>
      </w:r>
      <w:r w:rsidR="003E628A">
        <w:rPr>
          <w:sz w:val="24"/>
        </w:rPr>
        <w:t xml:space="preserve">Basis risk is composed of two components, idiosyncratic risk and design risk. Idiosyncratic risk refers to deviations between the insurance zone average </w:t>
      </w:r>
      <w:r w:rsidR="009568EF">
        <w:rPr>
          <w:sz w:val="24"/>
        </w:rPr>
        <w:t>yields</w:t>
      </w:r>
      <w:r w:rsidR="003E628A">
        <w:rPr>
          <w:sz w:val="24"/>
        </w:rPr>
        <w:t xml:space="preserve"> and individual </w:t>
      </w:r>
      <w:r w:rsidR="009568EF">
        <w:rPr>
          <w:sz w:val="24"/>
        </w:rPr>
        <w:t xml:space="preserve">farmer </w:t>
      </w:r>
      <w:r w:rsidR="003E628A">
        <w:rPr>
          <w:sz w:val="24"/>
        </w:rPr>
        <w:t>yield</w:t>
      </w:r>
      <w:r w:rsidR="009568EF">
        <w:rPr>
          <w:sz w:val="24"/>
        </w:rPr>
        <w:t>s</w:t>
      </w:r>
      <w:r w:rsidR="003E628A">
        <w:rPr>
          <w:sz w:val="24"/>
        </w:rPr>
        <w:t xml:space="preserve">. Design risk refers to deviations of the index from the insurance zone average yields. </w:t>
      </w:r>
    </w:p>
    <w:p w14:paraId="24ED869A" w14:textId="47519710" w:rsidR="003E628A" w:rsidRDefault="003E628A" w:rsidP="00F5142F">
      <w:pPr>
        <w:spacing w:after="0" w:line="240" w:lineRule="auto"/>
        <w:jc w:val="both"/>
        <w:rPr>
          <w:sz w:val="24"/>
        </w:rPr>
      </w:pPr>
    </w:p>
    <w:p w14:paraId="1CB27A53" w14:textId="60AC101C" w:rsidR="00C46726" w:rsidRDefault="003E628A" w:rsidP="00C46726">
      <w:pPr>
        <w:spacing w:after="0" w:line="240" w:lineRule="auto"/>
        <w:jc w:val="both"/>
        <w:rPr>
          <w:sz w:val="24"/>
        </w:rPr>
      </w:pPr>
      <w:r>
        <w:rPr>
          <w:sz w:val="24"/>
        </w:rPr>
        <w:t xml:space="preserve">The optimal agricultural index insurance policy </w:t>
      </w:r>
      <w:r w:rsidR="009568EF">
        <w:rPr>
          <w:sz w:val="24"/>
        </w:rPr>
        <w:t>is an</w:t>
      </w:r>
      <w:r>
        <w:rPr>
          <w:sz w:val="24"/>
        </w:rPr>
        <w:t xml:space="preserve"> area </w:t>
      </w:r>
      <w:r w:rsidR="009568EF">
        <w:rPr>
          <w:sz w:val="24"/>
        </w:rPr>
        <w:t>yield policy</w:t>
      </w:r>
      <w:r w:rsidR="00C46726">
        <w:rPr>
          <w:sz w:val="24"/>
        </w:rPr>
        <w:t>, which</w:t>
      </w:r>
      <w:r>
        <w:rPr>
          <w:sz w:val="24"/>
        </w:rPr>
        <w:t xml:space="preserve"> </w:t>
      </w:r>
      <w:r w:rsidR="009568EF">
        <w:rPr>
          <w:sz w:val="24"/>
        </w:rPr>
        <w:t xml:space="preserve">directly insures covariant production shocks within insurance zones </w:t>
      </w:r>
      <w:r>
        <w:rPr>
          <w:sz w:val="24"/>
        </w:rPr>
        <w:t>and eliminates design risk from the insurance contract</w:t>
      </w:r>
      <w:r w:rsidR="009568EF">
        <w:rPr>
          <w:sz w:val="24"/>
        </w:rPr>
        <w:t>.</w:t>
      </w:r>
      <w:r>
        <w:rPr>
          <w:sz w:val="24"/>
        </w:rPr>
        <w:t xml:space="preserve"> </w:t>
      </w:r>
      <w:r w:rsidR="00C46726">
        <w:rPr>
          <w:sz w:val="24"/>
        </w:rPr>
        <w:t>Area yield index insurance policies are rarely implemented in practice due to the high cost of collecting high quality area yield data. Alternatively, the majority of crop index insurance policies to date have been based on rainfall measurements, relying on rainfall station</w:t>
      </w:r>
      <w:r w:rsidR="007023D1">
        <w:rPr>
          <w:sz w:val="24"/>
        </w:rPr>
        <w:t>s or</w:t>
      </w:r>
      <w:r w:rsidR="00C46726">
        <w:rPr>
          <w:sz w:val="24"/>
        </w:rPr>
        <w:t xml:space="preserve"> more recently, satellite based estimates of rainfall. Are</w:t>
      </w:r>
      <w:r w:rsidR="007023D1">
        <w:rPr>
          <w:sz w:val="24"/>
        </w:rPr>
        <w:t>a</w:t>
      </w:r>
      <w:r w:rsidR="00C46726">
        <w:rPr>
          <w:sz w:val="24"/>
        </w:rPr>
        <w:t xml:space="preserve"> rainfall measures are then taken as a proxy for area yields</w:t>
      </w:r>
      <w:r w:rsidR="00F5142F">
        <w:rPr>
          <w:sz w:val="24"/>
        </w:rPr>
        <w:t>. However, rainfall based index insurance policies are notoriously riddled with basis risk</w:t>
      </w:r>
      <w:r w:rsidR="00C46726">
        <w:rPr>
          <w:sz w:val="24"/>
        </w:rPr>
        <w:t>, particularly design risk,</w:t>
      </w:r>
      <w:r w:rsidR="00F5142F">
        <w:rPr>
          <w:sz w:val="24"/>
        </w:rPr>
        <w:t xml:space="preserve"> as rain is not alwa</w:t>
      </w:r>
      <w:r w:rsidR="007023D1">
        <w:rPr>
          <w:sz w:val="24"/>
        </w:rPr>
        <w:t>ys the leading indicator of area yields</w:t>
      </w:r>
      <w:r w:rsidR="00F5142F">
        <w:rPr>
          <w:sz w:val="24"/>
        </w:rPr>
        <w:t>, rainfall variations can be substantial within insurance zones, and rainfall measurements are often inaccurate at capturing area rainfall.</w:t>
      </w:r>
      <w:r w:rsidR="00C46726">
        <w:rPr>
          <w:sz w:val="24"/>
        </w:rPr>
        <w:t xml:space="preserve"> A telling example come</w:t>
      </w:r>
      <w:r w:rsidR="00D82759">
        <w:rPr>
          <w:sz w:val="24"/>
        </w:rPr>
        <w:t>s</w:t>
      </w:r>
      <w:r w:rsidR="00C46726">
        <w:rPr>
          <w:sz w:val="24"/>
        </w:rPr>
        <w:t xml:space="preserve"> from India’</w:t>
      </w:r>
      <w:r w:rsidR="00FC7C1B">
        <w:rPr>
          <w:sz w:val="24"/>
        </w:rPr>
        <w:t>s well-</w:t>
      </w:r>
      <w:r w:rsidR="00C46726">
        <w:rPr>
          <w:sz w:val="24"/>
        </w:rPr>
        <w:t>k</w:t>
      </w:r>
      <w:r w:rsidR="00D82759">
        <w:rPr>
          <w:sz w:val="24"/>
        </w:rPr>
        <w:t>now and large-</w:t>
      </w:r>
      <w:r w:rsidR="009568EF">
        <w:rPr>
          <w:sz w:val="24"/>
        </w:rPr>
        <w:t>scale Weather B</w:t>
      </w:r>
      <w:r w:rsidR="00C46726">
        <w:rPr>
          <w:sz w:val="24"/>
        </w:rPr>
        <w:t xml:space="preserve">ased Crop Insurance Scheme (WBCIS). Clarke et al. </w:t>
      </w:r>
      <w:r w:rsidR="00D82759">
        <w:rPr>
          <w:sz w:val="24"/>
        </w:rPr>
        <w:t>(</w:t>
      </w:r>
      <w:r w:rsidR="00C46726">
        <w:rPr>
          <w:sz w:val="24"/>
        </w:rPr>
        <w:t>2012</w:t>
      </w:r>
      <w:r w:rsidR="00D82759">
        <w:rPr>
          <w:sz w:val="24"/>
        </w:rPr>
        <w:t>)</w:t>
      </w:r>
      <w:r w:rsidR="00C46726">
        <w:rPr>
          <w:sz w:val="24"/>
        </w:rPr>
        <w:t xml:space="preserve"> document</w:t>
      </w:r>
      <w:r w:rsidR="00D82759">
        <w:rPr>
          <w:sz w:val="24"/>
        </w:rPr>
        <w:t>s</w:t>
      </w:r>
      <w:r w:rsidR="00C46726">
        <w:rPr>
          <w:sz w:val="24"/>
        </w:rPr>
        <w:t xml:space="preserve"> the </w:t>
      </w:r>
      <w:r w:rsidR="0018474A">
        <w:rPr>
          <w:sz w:val="24"/>
        </w:rPr>
        <w:t>ex</w:t>
      </w:r>
      <w:r w:rsidR="00D82759">
        <w:rPr>
          <w:sz w:val="24"/>
        </w:rPr>
        <w:t xml:space="preserve">tent of </w:t>
      </w:r>
      <w:r w:rsidR="00FC7C1B">
        <w:rPr>
          <w:sz w:val="24"/>
        </w:rPr>
        <w:t>basis risk in these rainfall-</w:t>
      </w:r>
      <w:r w:rsidR="00D82759">
        <w:rPr>
          <w:sz w:val="24"/>
        </w:rPr>
        <w:t>based index insurance policies and finds a startlingly low level of correlation between yields and the index. Figure 1, drawn from Clarke et al. (2012)</w:t>
      </w:r>
      <w:r w:rsidR="007023D1">
        <w:rPr>
          <w:sz w:val="24"/>
        </w:rPr>
        <w:t>,</w:t>
      </w:r>
      <w:r w:rsidR="00D82759">
        <w:rPr>
          <w:sz w:val="24"/>
        </w:rPr>
        <w:t xml:space="preserve"> presents insurance claims plotted against area yields over the period from 1999 to 2007. Clarke et al. demonstrate here that </w:t>
      </w:r>
      <w:r w:rsidR="00FC7C1B">
        <w:rPr>
          <w:sz w:val="24"/>
        </w:rPr>
        <w:t xml:space="preserve">these rainfall based index insurance policies offer payouts that have very </w:t>
      </w:r>
      <w:r w:rsidR="007023D1">
        <w:rPr>
          <w:sz w:val="24"/>
        </w:rPr>
        <w:t>weak</w:t>
      </w:r>
      <w:r w:rsidR="00FC7C1B">
        <w:rPr>
          <w:sz w:val="24"/>
        </w:rPr>
        <w:t xml:space="preserve"> correlati</w:t>
      </w:r>
      <w:r w:rsidR="007023D1">
        <w:rPr>
          <w:sz w:val="24"/>
        </w:rPr>
        <w:t>on with actual losses, suggesting</w:t>
      </w:r>
      <w:r w:rsidR="00FC7C1B">
        <w:rPr>
          <w:sz w:val="24"/>
        </w:rPr>
        <w:t xml:space="preserve"> extreme levels of basis risk and offering farmers very little in terms of valuable insurance protection. If </w:t>
      </w:r>
      <w:r w:rsidR="007023D1">
        <w:rPr>
          <w:sz w:val="24"/>
        </w:rPr>
        <w:t xml:space="preserve">the WBCIS policies are at all indicative of </w:t>
      </w:r>
      <w:r w:rsidR="009568EF">
        <w:rPr>
          <w:sz w:val="24"/>
        </w:rPr>
        <w:t>rainfall-based</w:t>
      </w:r>
      <w:r w:rsidR="007023D1">
        <w:rPr>
          <w:sz w:val="24"/>
        </w:rPr>
        <w:t xml:space="preserve"> policies to date, then index insurance will need to be significantly improved before we can hope for insurance to experience strong demand and significant impact. </w:t>
      </w:r>
    </w:p>
    <w:p w14:paraId="05106099" w14:textId="77777777" w:rsidR="00C46726" w:rsidRDefault="00C46726" w:rsidP="00C46726">
      <w:pPr>
        <w:spacing w:after="0" w:line="240" w:lineRule="auto"/>
        <w:jc w:val="both"/>
        <w:rPr>
          <w:sz w:val="24"/>
        </w:rPr>
      </w:pPr>
    </w:p>
    <w:p w14:paraId="3AA83314" w14:textId="3F5C5AEF" w:rsidR="00F5142F" w:rsidRDefault="00F5142F" w:rsidP="00C46726">
      <w:pPr>
        <w:spacing w:after="0" w:line="240" w:lineRule="auto"/>
        <w:jc w:val="both"/>
        <w:rPr>
          <w:sz w:val="24"/>
        </w:rPr>
      </w:pPr>
      <w:r>
        <w:rPr>
          <w:sz w:val="24"/>
        </w:rPr>
        <w:t xml:space="preserve"> </w:t>
      </w:r>
    </w:p>
    <w:p w14:paraId="36A2AA51" w14:textId="196CC0C4" w:rsidR="00F5142F" w:rsidRDefault="00F5142F" w:rsidP="00F5142F">
      <w:pPr>
        <w:spacing w:after="0" w:line="240" w:lineRule="auto"/>
        <w:jc w:val="both"/>
        <w:rPr>
          <w:b/>
          <w:sz w:val="24"/>
        </w:rPr>
      </w:pPr>
    </w:p>
    <w:p w14:paraId="7C2BE2C9" w14:textId="588CF211" w:rsidR="00F5142F" w:rsidRDefault="00F5142F" w:rsidP="00F5142F">
      <w:pPr>
        <w:spacing w:after="0" w:line="240" w:lineRule="auto"/>
        <w:jc w:val="both"/>
        <w:rPr>
          <w:b/>
          <w:sz w:val="24"/>
        </w:rPr>
      </w:pPr>
    </w:p>
    <w:p w14:paraId="322F4C32" w14:textId="5B8AED2F" w:rsidR="00D82759" w:rsidRDefault="00D82759" w:rsidP="00F5142F">
      <w:pPr>
        <w:spacing w:after="0" w:line="240" w:lineRule="auto"/>
        <w:jc w:val="both"/>
        <w:rPr>
          <w:b/>
          <w:sz w:val="24"/>
        </w:rPr>
      </w:pPr>
    </w:p>
    <w:p w14:paraId="7BBA07CD" w14:textId="2ACA3A9C" w:rsidR="00D82759" w:rsidRDefault="00D82759" w:rsidP="00F5142F">
      <w:pPr>
        <w:spacing w:after="0" w:line="240" w:lineRule="auto"/>
        <w:jc w:val="both"/>
        <w:rPr>
          <w:b/>
          <w:sz w:val="24"/>
        </w:rPr>
      </w:pPr>
    </w:p>
    <w:p w14:paraId="2B374552" w14:textId="43F2E108" w:rsidR="00D82759" w:rsidRDefault="00D82759" w:rsidP="00F5142F">
      <w:pPr>
        <w:spacing w:after="0" w:line="240" w:lineRule="auto"/>
        <w:jc w:val="both"/>
        <w:rPr>
          <w:b/>
          <w:sz w:val="24"/>
        </w:rPr>
      </w:pPr>
    </w:p>
    <w:p w14:paraId="57AFC819" w14:textId="77777777" w:rsidR="009568EF" w:rsidRDefault="009568EF" w:rsidP="00F5142F">
      <w:pPr>
        <w:spacing w:after="0" w:line="240" w:lineRule="auto"/>
        <w:jc w:val="both"/>
        <w:rPr>
          <w:b/>
          <w:sz w:val="24"/>
        </w:rPr>
      </w:pPr>
    </w:p>
    <w:p w14:paraId="6211A139" w14:textId="5962FEB2" w:rsidR="00D82759" w:rsidRDefault="00D82759" w:rsidP="00F5142F">
      <w:pPr>
        <w:spacing w:after="0" w:line="240" w:lineRule="auto"/>
        <w:jc w:val="both"/>
        <w:rPr>
          <w:b/>
          <w:sz w:val="24"/>
        </w:rPr>
      </w:pPr>
    </w:p>
    <w:p w14:paraId="45D1CE3A" w14:textId="1CE15F90" w:rsidR="00D82759" w:rsidRDefault="00D82759" w:rsidP="00F5142F">
      <w:pPr>
        <w:spacing w:after="0" w:line="240" w:lineRule="auto"/>
        <w:jc w:val="both"/>
        <w:rPr>
          <w:b/>
          <w:sz w:val="24"/>
        </w:rPr>
      </w:pPr>
    </w:p>
    <w:p w14:paraId="0D1BDEA6" w14:textId="013936CA" w:rsidR="00D82759" w:rsidRDefault="00D82759" w:rsidP="00F5142F">
      <w:pPr>
        <w:spacing w:after="0" w:line="240" w:lineRule="auto"/>
        <w:jc w:val="both"/>
        <w:rPr>
          <w:b/>
          <w:sz w:val="24"/>
        </w:rPr>
      </w:pPr>
    </w:p>
    <w:p w14:paraId="0AF78481" w14:textId="77777777" w:rsidR="00D82759" w:rsidRDefault="00D82759" w:rsidP="00F5142F">
      <w:pPr>
        <w:spacing w:after="0" w:line="240" w:lineRule="auto"/>
        <w:jc w:val="both"/>
        <w:rPr>
          <w:b/>
          <w:sz w:val="24"/>
        </w:rPr>
      </w:pPr>
    </w:p>
    <w:p w14:paraId="66E2FE15" w14:textId="4AC4707B" w:rsidR="00132279" w:rsidRDefault="00132279" w:rsidP="00F5142F">
      <w:pPr>
        <w:spacing w:after="0" w:line="240" w:lineRule="auto"/>
        <w:jc w:val="both"/>
        <w:rPr>
          <w:b/>
          <w:sz w:val="24"/>
        </w:rPr>
      </w:pPr>
    </w:p>
    <w:p w14:paraId="30BE504D" w14:textId="101B5C4A" w:rsidR="00132279" w:rsidRDefault="00132279" w:rsidP="00F5142F">
      <w:pPr>
        <w:spacing w:after="0" w:line="240" w:lineRule="auto"/>
        <w:jc w:val="both"/>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0414A" w14:paraId="2A597729" w14:textId="77777777" w:rsidTr="00FC7C1B">
        <w:tc>
          <w:tcPr>
            <w:tcW w:w="9350" w:type="dxa"/>
            <w:tcBorders>
              <w:bottom w:val="single" w:sz="4" w:space="0" w:color="auto"/>
            </w:tcBorders>
          </w:tcPr>
          <w:p w14:paraId="56021E83" w14:textId="43EDF496" w:rsidR="0080414A" w:rsidRPr="00763CA3" w:rsidRDefault="0080414A" w:rsidP="009C4D80">
            <w:pPr>
              <w:jc w:val="both"/>
              <w:rPr>
                <w:sz w:val="24"/>
              </w:rPr>
            </w:pPr>
            <w:r w:rsidRPr="00763CA3">
              <w:rPr>
                <w:sz w:val="24"/>
              </w:rPr>
              <w:t xml:space="preserve">Figure 1: </w:t>
            </w:r>
            <w:r w:rsidR="00D82759" w:rsidRPr="00763CA3">
              <w:rPr>
                <w:sz w:val="24"/>
              </w:rPr>
              <w:t xml:space="preserve">Rainfall Based </w:t>
            </w:r>
            <w:r w:rsidR="009C4D80" w:rsidRPr="00763CA3">
              <w:rPr>
                <w:sz w:val="24"/>
              </w:rPr>
              <w:t>Index</w:t>
            </w:r>
            <w:r w:rsidR="00D82759" w:rsidRPr="00763CA3">
              <w:rPr>
                <w:sz w:val="24"/>
              </w:rPr>
              <w:t xml:space="preserve"> Insurance</w:t>
            </w:r>
            <w:r w:rsidR="009C4D80" w:rsidRPr="00763CA3">
              <w:rPr>
                <w:sz w:val="24"/>
              </w:rPr>
              <w:t xml:space="preserve"> Performance in India (from Clarke et al. 2012)</w:t>
            </w:r>
          </w:p>
        </w:tc>
      </w:tr>
      <w:tr w:rsidR="0080414A" w14:paraId="55C63688" w14:textId="77777777" w:rsidTr="007023D1">
        <w:tc>
          <w:tcPr>
            <w:tcW w:w="9350" w:type="dxa"/>
            <w:tcBorders>
              <w:top w:val="single" w:sz="4" w:space="0" w:color="auto"/>
              <w:bottom w:val="single" w:sz="4" w:space="0" w:color="auto"/>
            </w:tcBorders>
          </w:tcPr>
          <w:p w14:paraId="453D2521" w14:textId="21C15692" w:rsidR="0080414A" w:rsidRDefault="0080414A" w:rsidP="0080414A">
            <w:pPr>
              <w:jc w:val="center"/>
              <w:rPr>
                <w:b/>
                <w:sz w:val="24"/>
              </w:rPr>
            </w:pPr>
            <w:r w:rsidRPr="0080414A">
              <w:rPr>
                <w:b/>
                <w:noProof/>
                <w:sz w:val="24"/>
              </w:rPr>
              <w:drawing>
                <wp:inline distT="0" distB="0" distL="0" distR="0" wp14:anchorId="3D92CAC1" wp14:editId="6DC10A9F">
                  <wp:extent cx="5934075" cy="3133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3133725"/>
                          </a:xfrm>
                          <a:prstGeom prst="rect">
                            <a:avLst/>
                          </a:prstGeom>
                          <a:noFill/>
                          <a:ln>
                            <a:noFill/>
                          </a:ln>
                        </pic:spPr>
                      </pic:pic>
                    </a:graphicData>
                  </a:graphic>
                </wp:inline>
              </w:drawing>
            </w:r>
          </w:p>
        </w:tc>
      </w:tr>
      <w:tr w:rsidR="00D82759" w14:paraId="50140FA3" w14:textId="77777777" w:rsidTr="007023D1">
        <w:tc>
          <w:tcPr>
            <w:tcW w:w="9350" w:type="dxa"/>
            <w:tcBorders>
              <w:top w:val="single" w:sz="4" w:space="0" w:color="auto"/>
              <w:bottom w:val="single" w:sz="4" w:space="0" w:color="auto"/>
            </w:tcBorders>
          </w:tcPr>
          <w:p w14:paraId="05D178CD" w14:textId="7F51048F" w:rsidR="00D82759" w:rsidRPr="00FC7C1B" w:rsidRDefault="00FC7C1B" w:rsidP="00FC7C1B">
            <w:pPr>
              <w:rPr>
                <w:noProof/>
                <w:sz w:val="24"/>
              </w:rPr>
            </w:pPr>
            <w:r w:rsidRPr="00FC7C1B">
              <w:rPr>
                <w:noProof/>
              </w:rPr>
              <w:t xml:space="preserve">The blue scatter plot represents the “empirical joint distribution of claim payments and area years” while the red curve repsresents the “kernal plot of the average claim payments conditional on the yield” (Clarke et al. 2012). </w:t>
            </w:r>
          </w:p>
        </w:tc>
      </w:tr>
    </w:tbl>
    <w:p w14:paraId="04B02CD9" w14:textId="75B52984" w:rsidR="00132279" w:rsidRDefault="00132279" w:rsidP="00F5142F">
      <w:pPr>
        <w:spacing w:after="0" w:line="240" w:lineRule="auto"/>
        <w:jc w:val="both"/>
        <w:rPr>
          <w:b/>
          <w:sz w:val="24"/>
        </w:rPr>
      </w:pPr>
    </w:p>
    <w:p w14:paraId="29CA9BB0" w14:textId="192BB24F" w:rsidR="00132279" w:rsidRDefault="00D82759" w:rsidP="00D82759">
      <w:pPr>
        <w:spacing w:after="0" w:line="240" w:lineRule="auto"/>
        <w:jc w:val="both"/>
        <w:rPr>
          <w:b/>
          <w:sz w:val="24"/>
        </w:rPr>
      </w:pPr>
      <w:r>
        <w:rPr>
          <w:sz w:val="24"/>
        </w:rPr>
        <w:t>A promising alternative to rainfall-based indices is to use remote sensing data to develop direct estimates of area yield.</w:t>
      </w:r>
      <w:r w:rsidR="00FC7C1B">
        <w:rPr>
          <w:sz w:val="24"/>
        </w:rPr>
        <w:t xml:space="preserve">  Remote sensing technology has developed rapidly in recent years and now offers rich data sets of </w:t>
      </w:r>
      <w:r w:rsidR="00646DA2">
        <w:rPr>
          <w:sz w:val="24"/>
        </w:rPr>
        <w:t>high-resolution</w:t>
      </w:r>
      <w:r w:rsidR="00FC7C1B">
        <w:rPr>
          <w:sz w:val="24"/>
        </w:rPr>
        <w:t xml:space="preserve"> images for locations across the globe. Furthermore, by combining remote sensing data with geolocated agricultural yields, </w:t>
      </w:r>
      <w:r w:rsidR="007023D1">
        <w:rPr>
          <w:sz w:val="24"/>
        </w:rPr>
        <w:t>researchers can develop models that</w:t>
      </w:r>
      <w:r w:rsidR="00FC7C1B">
        <w:rPr>
          <w:sz w:val="24"/>
        </w:rPr>
        <w:t xml:space="preserve"> map remote sensing data to yields </w:t>
      </w:r>
      <w:r w:rsidR="007023D1">
        <w:rPr>
          <w:sz w:val="24"/>
        </w:rPr>
        <w:t>and can achieve significant reductions in design risk</w:t>
      </w:r>
      <w:r w:rsidR="00FC7C1B">
        <w:rPr>
          <w:sz w:val="24"/>
        </w:rPr>
        <w:t xml:space="preserve"> relative to </w:t>
      </w:r>
      <w:r w:rsidR="007023D1">
        <w:rPr>
          <w:sz w:val="24"/>
        </w:rPr>
        <w:t>rainfall-based</w:t>
      </w:r>
      <w:r w:rsidR="00FC7C1B">
        <w:rPr>
          <w:sz w:val="24"/>
        </w:rPr>
        <w:t xml:space="preserve"> measures. </w:t>
      </w:r>
      <w:r w:rsidR="007434EC">
        <w:rPr>
          <w:sz w:val="24"/>
        </w:rPr>
        <w:t xml:space="preserve">Furthermore, high-resolution remote sensing data allows researchers to carefully design and adjust the insurance zone sizes in order to optimally reduce idiosyncratic risks. </w:t>
      </w:r>
      <w:r w:rsidR="00C744A2">
        <w:rPr>
          <w:sz w:val="24"/>
        </w:rPr>
        <w:t xml:space="preserve">In this </w:t>
      </w:r>
      <w:r w:rsidR="00646DA2">
        <w:rPr>
          <w:sz w:val="24"/>
        </w:rPr>
        <w:t>project,</w:t>
      </w:r>
      <w:r w:rsidR="00C744A2">
        <w:rPr>
          <w:sz w:val="24"/>
        </w:rPr>
        <w:t xml:space="preserve"> we intend to pair with a leading remote sens</w:t>
      </w:r>
      <w:r w:rsidR="00646DA2">
        <w:rPr>
          <w:sz w:val="24"/>
        </w:rPr>
        <w:t>ing research team and use geolo</w:t>
      </w:r>
      <w:r w:rsidR="00C744A2">
        <w:rPr>
          <w:sz w:val="24"/>
        </w:rPr>
        <w:t>c</w:t>
      </w:r>
      <w:r w:rsidR="00646DA2">
        <w:rPr>
          <w:sz w:val="24"/>
        </w:rPr>
        <w:t>a</w:t>
      </w:r>
      <w:r w:rsidR="00C744A2">
        <w:rPr>
          <w:sz w:val="24"/>
        </w:rPr>
        <w:t>ted yield data from northern Ghana to develop improved area yield index insurance policies.</w:t>
      </w:r>
      <w:r w:rsidR="007023D1">
        <w:rPr>
          <w:sz w:val="24"/>
        </w:rPr>
        <w:t xml:space="preserve"> </w:t>
      </w:r>
      <w:r w:rsidR="007434EC">
        <w:rPr>
          <w:sz w:val="24"/>
        </w:rPr>
        <w:t xml:space="preserve">We will also explore innovative contract features such as a second stage </w:t>
      </w:r>
      <w:r w:rsidR="00184042">
        <w:rPr>
          <w:sz w:val="24"/>
        </w:rPr>
        <w:t>audit, which</w:t>
      </w:r>
      <w:r w:rsidR="007434EC">
        <w:rPr>
          <w:sz w:val="24"/>
        </w:rPr>
        <w:t xml:space="preserve"> would allow policyholders to petition for an assessment of losses if they believe they have ex</w:t>
      </w:r>
      <w:r w:rsidR="00184042">
        <w:rPr>
          <w:sz w:val="24"/>
        </w:rPr>
        <w:t>perienced a downside basis-risk-</w:t>
      </w:r>
      <w:r w:rsidR="007434EC">
        <w:rPr>
          <w:sz w:val="24"/>
        </w:rPr>
        <w:t xml:space="preserve">event (losses with no insurance payout). Conditional audits help remote sensing based products to further approximate area yield contracts yet at a fraction of the price of </w:t>
      </w:r>
      <w:r w:rsidR="009568EF">
        <w:rPr>
          <w:sz w:val="24"/>
        </w:rPr>
        <w:t>collecting actual area yield data</w:t>
      </w:r>
      <w:r w:rsidR="007434EC">
        <w:rPr>
          <w:sz w:val="24"/>
        </w:rPr>
        <w:t xml:space="preserve"> (Flatnes and Carter 2015).</w:t>
      </w:r>
    </w:p>
    <w:p w14:paraId="524C6405" w14:textId="57A5EC75" w:rsidR="00132279" w:rsidRDefault="00132279" w:rsidP="00F5142F">
      <w:pPr>
        <w:spacing w:after="0" w:line="240" w:lineRule="auto"/>
        <w:jc w:val="both"/>
        <w:rPr>
          <w:b/>
          <w:sz w:val="24"/>
        </w:rPr>
      </w:pPr>
    </w:p>
    <w:p w14:paraId="4607F9B8" w14:textId="6D1C08DB" w:rsidR="00132279" w:rsidRPr="00F5142F" w:rsidRDefault="00132279" w:rsidP="00F5142F">
      <w:pPr>
        <w:spacing w:after="0" w:line="240" w:lineRule="auto"/>
        <w:jc w:val="both"/>
        <w:rPr>
          <w:b/>
          <w:sz w:val="24"/>
        </w:rPr>
      </w:pPr>
    </w:p>
    <w:p w14:paraId="2F835B19" w14:textId="42286EFF" w:rsidR="00F5142F" w:rsidRPr="00F5142F" w:rsidRDefault="00F5142F" w:rsidP="00E65CDD">
      <w:pPr>
        <w:pStyle w:val="ListParagraph"/>
        <w:numPr>
          <w:ilvl w:val="0"/>
          <w:numId w:val="13"/>
        </w:numPr>
        <w:spacing w:after="0" w:line="240" w:lineRule="auto"/>
        <w:jc w:val="both"/>
        <w:rPr>
          <w:b/>
          <w:sz w:val="24"/>
        </w:rPr>
      </w:pPr>
      <w:r>
        <w:rPr>
          <w:b/>
          <w:sz w:val="24"/>
        </w:rPr>
        <w:t>Agricultural Prices and Basis Risk</w:t>
      </w:r>
    </w:p>
    <w:p w14:paraId="4311C700" w14:textId="1C0C139C" w:rsidR="00F5142F" w:rsidRDefault="00F5142F" w:rsidP="0090513F">
      <w:pPr>
        <w:spacing w:after="0" w:line="240" w:lineRule="auto"/>
        <w:jc w:val="both"/>
        <w:rPr>
          <w:b/>
          <w:sz w:val="24"/>
        </w:rPr>
      </w:pPr>
    </w:p>
    <w:p w14:paraId="45766D05" w14:textId="77777777" w:rsidR="009D05B8" w:rsidRDefault="009D05B8" w:rsidP="0090513F">
      <w:pPr>
        <w:spacing w:after="0" w:line="240" w:lineRule="auto"/>
        <w:jc w:val="both"/>
        <w:rPr>
          <w:i/>
          <w:sz w:val="24"/>
        </w:rPr>
      </w:pPr>
    </w:p>
    <w:p w14:paraId="71FDA1A1" w14:textId="3C64385F" w:rsidR="00D77650" w:rsidRDefault="00D77650" w:rsidP="00D77650">
      <w:pPr>
        <w:spacing w:after="0" w:line="240" w:lineRule="auto"/>
        <w:jc w:val="both"/>
        <w:rPr>
          <w:sz w:val="24"/>
        </w:rPr>
      </w:pPr>
      <w:r>
        <w:rPr>
          <w:sz w:val="24"/>
        </w:rPr>
        <w:t xml:space="preserve">As we identified above, basis-risk stands as perhaps the central barrier to adoption of agricultural index insurance in developing counties. The problem </w:t>
      </w:r>
      <w:r w:rsidR="007434EC">
        <w:rPr>
          <w:sz w:val="24"/>
        </w:rPr>
        <w:t>may be</w:t>
      </w:r>
      <w:r>
        <w:rPr>
          <w:sz w:val="24"/>
        </w:rPr>
        <w:t xml:space="preserve"> worse when we reconsider how we </w:t>
      </w:r>
      <w:r>
        <w:rPr>
          <w:sz w:val="24"/>
        </w:rPr>
        <w:lastRenderedPageBreak/>
        <w:t xml:space="preserve">define basis risk. The standard definition is the imperfect correlation between the index and </w:t>
      </w:r>
      <w:r w:rsidR="007434EC">
        <w:rPr>
          <w:sz w:val="24"/>
        </w:rPr>
        <w:t xml:space="preserve">policyholder yields. </w:t>
      </w:r>
      <w:r>
        <w:rPr>
          <w:sz w:val="24"/>
        </w:rPr>
        <w:t xml:space="preserve">However, it is not yields, per se, that farmers are interested in; </w:t>
      </w:r>
      <w:r w:rsidR="00184042">
        <w:rPr>
          <w:sz w:val="24"/>
        </w:rPr>
        <w:t>rather,</w:t>
      </w:r>
      <w:r>
        <w:rPr>
          <w:sz w:val="24"/>
        </w:rPr>
        <w:t xml:space="preserve"> it is incomes. </w:t>
      </w:r>
      <w:r w:rsidR="007434EC">
        <w:rPr>
          <w:sz w:val="24"/>
        </w:rPr>
        <w:t>By focusing exclusively on yields, we effectively treat yields as a proxy for income. However, yields will be a</w:t>
      </w:r>
      <w:r>
        <w:rPr>
          <w:sz w:val="24"/>
        </w:rPr>
        <w:t xml:space="preserve">n imperfect proxy because incomes are </w:t>
      </w:r>
      <w:r w:rsidR="007434EC">
        <w:rPr>
          <w:sz w:val="24"/>
        </w:rPr>
        <w:t>a function of</w:t>
      </w:r>
      <w:r>
        <w:rPr>
          <w:sz w:val="24"/>
        </w:rPr>
        <w:t xml:space="preserve"> yields and prices. Without considering price variation, index insurance policies may have more basis risk than previously imagined. Even a perfectly designed area yield contract will only </w:t>
      </w:r>
      <w:r w:rsidR="007434EC">
        <w:rPr>
          <w:sz w:val="24"/>
        </w:rPr>
        <w:t>capture a component of the</w:t>
      </w:r>
      <w:r>
        <w:rPr>
          <w:sz w:val="24"/>
        </w:rPr>
        <w:t xml:space="preserve"> area income, the true outcome that we wish to insure. For example, an area yield index insurance product will be of little value to a farmer if a reduction in yields is compensated for by </w:t>
      </w:r>
      <w:r w:rsidR="00184042">
        <w:rPr>
          <w:sz w:val="24"/>
        </w:rPr>
        <w:t>a</w:t>
      </w:r>
      <w:r>
        <w:rPr>
          <w:sz w:val="24"/>
        </w:rPr>
        <w:t xml:space="preserve"> corresponding increase in local crop prices. </w:t>
      </w:r>
    </w:p>
    <w:p w14:paraId="2A2E9D8B" w14:textId="77777777" w:rsidR="00D77650" w:rsidRDefault="00D77650" w:rsidP="00D77650">
      <w:pPr>
        <w:spacing w:after="0" w:line="240" w:lineRule="auto"/>
        <w:jc w:val="both"/>
        <w:rPr>
          <w:sz w:val="24"/>
        </w:rPr>
      </w:pPr>
    </w:p>
    <w:p w14:paraId="595EA14E" w14:textId="1BEB6D1A" w:rsidR="00D77650" w:rsidRPr="00802307" w:rsidRDefault="00D77650" w:rsidP="00D77650">
      <w:pPr>
        <w:spacing w:after="0" w:line="240" w:lineRule="auto"/>
        <w:jc w:val="both"/>
        <w:rPr>
          <w:sz w:val="24"/>
        </w:rPr>
      </w:pPr>
      <w:r>
        <w:rPr>
          <w:sz w:val="24"/>
        </w:rPr>
        <w:t xml:space="preserve">With this consideration in mind, we propose to design a revenue index insurance policy that is marketable to smallholder farmers in Ghana.  A revenue index insurance policy </w:t>
      </w:r>
      <w:r w:rsidR="00763CA3">
        <w:rPr>
          <w:sz w:val="24"/>
        </w:rPr>
        <w:t>makes</w:t>
      </w:r>
      <w:r>
        <w:rPr>
          <w:sz w:val="24"/>
        </w:rPr>
        <w:t xml:space="preserve"> payout</w:t>
      </w:r>
      <w:r w:rsidR="009568EF">
        <w:rPr>
          <w:sz w:val="24"/>
        </w:rPr>
        <w:t>s when a revenue index, composed</w:t>
      </w:r>
      <w:r>
        <w:rPr>
          <w:sz w:val="24"/>
        </w:rPr>
        <w:t xml:space="preserve"> of both yields and prices, drops below a pre-determined trigger level. The revenue insurance policy will combine the high quality area yield measures with a price index. Our hope is to design an insurance policy that will minimize basis risk, where basis risk is defined as the imperfect correlation between farmer incomes and the index. The effectiveness of an area revenue contract has been demonstrated in the developed world. In the United States, the Group Risk Income Protection program, an index insurance policy designed to protect against revenue shortfalls, has significantly outperformed alternative yield based index insurance policies. </w:t>
      </w:r>
      <w:r w:rsidR="007434EC">
        <w:rPr>
          <w:sz w:val="24"/>
        </w:rPr>
        <w:t xml:space="preserve">We further explore the potential for revenue insurance policies below. </w:t>
      </w:r>
    </w:p>
    <w:p w14:paraId="1E5F15F0" w14:textId="77777777" w:rsidR="00D77650" w:rsidRDefault="00D77650" w:rsidP="00D77650">
      <w:pPr>
        <w:spacing w:after="0" w:line="240" w:lineRule="auto"/>
        <w:jc w:val="both"/>
        <w:rPr>
          <w:b/>
          <w:sz w:val="24"/>
        </w:rPr>
      </w:pPr>
    </w:p>
    <w:p w14:paraId="55187133" w14:textId="40D9618B" w:rsidR="00C744A2" w:rsidRDefault="00C744A2" w:rsidP="0090513F">
      <w:pPr>
        <w:spacing w:after="0" w:line="240" w:lineRule="auto"/>
        <w:jc w:val="both"/>
        <w:rPr>
          <w:sz w:val="24"/>
        </w:rPr>
      </w:pPr>
    </w:p>
    <w:p w14:paraId="4D545800" w14:textId="77777777" w:rsidR="00D77650" w:rsidRDefault="00D77650" w:rsidP="00D77650">
      <w:pPr>
        <w:spacing w:after="0" w:line="240" w:lineRule="auto"/>
        <w:jc w:val="both"/>
        <w:rPr>
          <w:i/>
          <w:sz w:val="24"/>
        </w:rPr>
      </w:pPr>
      <w:r>
        <w:rPr>
          <w:i/>
          <w:sz w:val="24"/>
        </w:rPr>
        <w:t>Theoretical Demonstration</w:t>
      </w:r>
    </w:p>
    <w:p w14:paraId="148E93F6" w14:textId="3CCF0927" w:rsidR="00D77650" w:rsidRDefault="00D77650" w:rsidP="0090513F">
      <w:pPr>
        <w:spacing w:after="0" w:line="240" w:lineRule="auto"/>
        <w:jc w:val="both"/>
        <w:rPr>
          <w:sz w:val="24"/>
        </w:rPr>
      </w:pPr>
    </w:p>
    <w:p w14:paraId="6D9EED44" w14:textId="7E6B3968" w:rsidR="00D77650" w:rsidRDefault="00D77650" w:rsidP="0090513F">
      <w:pPr>
        <w:spacing w:after="0" w:line="240" w:lineRule="auto"/>
        <w:jc w:val="both"/>
        <w:rPr>
          <w:sz w:val="24"/>
        </w:rPr>
      </w:pPr>
      <w:r>
        <w:rPr>
          <w:sz w:val="24"/>
        </w:rPr>
        <w:t xml:space="preserve">To illustrate the potential importance of </w:t>
      </w:r>
      <w:r w:rsidR="007434EC">
        <w:rPr>
          <w:sz w:val="24"/>
        </w:rPr>
        <w:t>insuring revenue</w:t>
      </w:r>
      <w:r>
        <w:rPr>
          <w:sz w:val="24"/>
        </w:rPr>
        <w:t xml:space="preserve">, we develop a simple </w:t>
      </w:r>
      <w:r w:rsidR="006D5CB1">
        <w:rPr>
          <w:sz w:val="24"/>
        </w:rPr>
        <w:t>theoretical</w:t>
      </w:r>
      <w:r>
        <w:rPr>
          <w:sz w:val="24"/>
        </w:rPr>
        <w:t xml:space="preserve"> model of agricultural revenue with and without stochastic prices. We</w:t>
      </w:r>
      <w:r w:rsidR="007434EC">
        <w:rPr>
          <w:sz w:val="24"/>
        </w:rPr>
        <w:t xml:space="preserve"> then</w:t>
      </w:r>
      <w:r>
        <w:rPr>
          <w:sz w:val="24"/>
        </w:rPr>
        <w:t xml:space="preserve"> consider area yield and area revenue insurance contracts and demonstrate how revenue contracts may improve upon area yield contracts. Lastly, we use our simulation to illustrate that revenue index insurance policies may improve demand for index insurance. </w:t>
      </w:r>
    </w:p>
    <w:p w14:paraId="18B3DE58" w14:textId="47658446" w:rsidR="00D77650" w:rsidRDefault="00D77650" w:rsidP="0090513F">
      <w:pPr>
        <w:spacing w:after="0" w:line="240" w:lineRule="auto"/>
        <w:jc w:val="both"/>
        <w:rPr>
          <w:sz w:val="24"/>
        </w:rPr>
      </w:pPr>
    </w:p>
    <w:p w14:paraId="748B335C" w14:textId="670A220F" w:rsidR="00D77650" w:rsidRDefault="00D77650" w:rsidP="0090513F">
      <w:pPr>
        <w:spacing w:after="0" w:line="240" w:lineRule="auto"/>
        <w:jc w:val="both"/>
        <w:rPr>
          <w:rFonts w:eastAsiaTheme="minorEastAsia"/>
          <w:sz w:val="24"/>
        </w:rPr>
      </w:pPr>
      <w:r>
        <w:rPr>
          <w:sz w:val="24"/>
        </w:rPr>
        <w:t xml:space="preserve">Consider a population of farmers that face yields </w:t>
      </w:r>
      <m:oMath>
        <m:sSub>
          <m:sSubPr>
            <m:ctrlPr>
              <w:rPr>
                <w:rFonts w:ascii="Cambria Math" w:hAnsi="Cambria Math"/>
                <w:i/>
                <w:sz w:val="24"/>
              </w:rPr>
            </m:ctrlPr>
          </m:sSubPr>
          <m:e>
            <m:r>
              <w:rPr>
                <w:rFonts w:ascii="Cambria Math" w:hAnsi="Cambria Math"/>
                <w:sz w:val="24"/>
              </w:rPr>
              <m:t>y</m:t>
            </m:r>
          </m:e>
          <m:sub>
            <m:r>
              <w:rPr>
                <w:rFonts w:ascii="Cambria Math" w:hAnsi="Cambria Math"/>
                <w:sz w:val="24"/>
              </w:rPr>
              <m:t>j</m:t>
            </m:r>
          </m:sub>
        </m:sSub>
        <m:r>
          <w:rPr>
            <w:rFonts w:ascii="Cambria Math" w:hAnsi="Cambria Math"/>
            <w:sz w:val="24"/>
          </w:rPr>
          <m:t>=</m:t>
        </m:r>
        <m:r>
          <m:rPr>
            <m:sty m:val="p"/>
          </m:rPr>
          <w:rPr>
            <w:rFonts w:ascii="Cambria Math" w:hAnsi="Cambria Math"/>
            <w:sz w:val="24"/>
          </w:rPr>
          <m:t>Θ</m:t>
        </m:r>
        <m:r>
          <w:rPr>
            <w:rFonts w:ascii="Cambria Math" w:hAnsi="Cambria Math"/>
            <w:sz w:val="24"/>
          </w:rPr>
          <m:t>g</m:t>
        </m:r>
      </m:oMath>
      <w:r>
        <w:rPr>
          <w:rFonts w:eastAsiaTheme="minorEastAsia"/>
          <w:sz w:val="24"/>
        </w:rPr>
        <w:t xml:space="preserve"> where </w:t>
      </w:r>
      <m:oMath>
        <m:r>
          <w:rPr>
            <w:rFonts w:ascii="Cambria Math" w:hAnsi="Cambria Math"/>
            <w:sz w:val="24"/>
          </w:rPr>
          <m:t>g</m:t>
        </m:r>
      </m:oMath>
      <w:r>
        <w:rPr>
          <w:rFonts w:eastAsiaTheme="minorEastAsia"/>
          <w:sz w:val="24"/>
        </w:rPr>
        <w:t xml:space="preserve"> </w:t>
      </w:r>
      <w:r w:rsidR="006D5CB1">
        <w:rPr>
          <w:rFonts w:eastAsiaTheme="minorEastAsia"/>
          <w:sz w:val="24"/>
        </w:rPr>
        <w:t>is some production constant and</w:t>
      </w:r>
      <w:r>
        <w:rPr>
          <w:rFonts w:eastAsiaTheme="minorEastAsia"/>
          <w:sz w:val="24"/>
        </w:rPr>
        <w:t xml:space="preserve"> </w:t>
      </w:r>
      <m:oMath>
        <m:r>
          <m:rPr>
            <m:sty m:val="p"/>
          </m:rPr>
          <w:rPr>
            <w:rFonts w:ascii="Cambria Math" w:hAnsi="Cambria Math"/>
            <w:sz w:val="24"/>
          </w:rPr>
          <m:t>Θ</m:t>
        </m:r>
      </m:oMath>
      <w:r w:rsidR="00763CA3">
        <w:rPr>
          <w:rFonts w:eastAsiaTheme="minorEastAsia"/>
          <w:sz w:val="24"/>
        </w:rPr>
        <w:t xml:space="preserve"> is a </w:t>
      </w:r>
      <w:r>
        <w:rPr>
          <w:rFonts w:eastAsiaTheme="minorEastAsia"/>
          <w:sz w:val="24"/>
        </w:rPr>
        <w:t>stochastic shock term</w:t>
      </w:r>
      <w:r w:rsidR="00763CA3">
        <w:rPr>
          <w:rFonts w:eastAsiaTheme="minorEastAsia"/>
          <w:sz w:val="24"/>
        </w:rPr>
        <w:t>, with a mean of 1,</w:t>
      </w:r>
      <w:r>
        <w:rPr>
          <w:rFonts w:eastAsiaTheme="minorEastAsia"/>
          <w:sz w:val="24"/>
        </w:rPr>
        <w:t xml:space="preserve"> composed of idiosyncratic and covariant shocks </w:t>
      </w:r>
      <m:oMath>
        <m:r>
          <m:rPr>
            <m:sty m:val="p"/>
          </m:rPr>
          <w:rPr>
            <w:rFonts w:ascii="Cambria Math" w:hAnsi="Cambria Math"/>
            <w:sz w:val="24"/>
          </w:rPr>
          <m:t>Θ=</m:t>
        </m:r>
        <m:sSub>
          <m:sSubPr>
            <m:ctrlPr>
              <w:rPr>
                <w:rFonts w:ascii="Cambria Math" w:hAnsi="Cambria Math"/>
                <w:i/>
                <w:sz w:val="24"/>
              </w:rPr>
            </m:ctrlPr>
          </m:sSubPr>
          <m:e>
            <m:r>
              <w:rPr>
                <w:rFonts w:ascii="Cambria Math" w:hAnsi="Cambria Math"/>
                <w:sz w:val="24"/>
              </w:rPr>
              <m:t>θ</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θ</m:t>
            </m:r>
          </m:e>
          <m:sub>
            <m:r>
              <w:rPr>
                <w:rFonts w:ascii="Cambria Math" w:hAnsi="Cambria Math"/>
                <w:sz w:val="24"/>
              </w:rPr>
              <m:t>c</m:t>
            </m:r>
          </m:sub>
        </m:sSub>
      </m:oMath>
      <w:r w:rsidR="008B2DB9">
        <w:rPr>
          <w:rFonts w:eastAsiaTheme="minorEastAsia"/>
          <w:sz w:val="24"/>
        </w:rPr>
        <w:t>. F</w:t>
      </w:r>
      <w:r>
        <w:rPr>
          <w:rFonts w:eastAsiaTheme="minorEastAsia"/>
          <w:sz w:val="24"/>
        </w:rPr>
        <w:t xml:space="preserve">armers earn revenues of </w:t>
      </w:r>
      <m:oMath>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j</m:t>
            </m:r>
          </m:sub>
        </m:sSub>
        <m:r>
          <w:rPr>
            <w:rFonts w:ascii="Cambria Math" w:eastAsiaTheme="minorEastAsia" w:hAnsi="Cambria Math"/>
            <w:sz w:val="24"/>
          </w:rPr>
          <m:t>=</m:t>
        </m:r>
        <m:acc>
          <m:accPr>
            <m:chr m:val="̃"/>
            <m:ctrlPr>
              <w:rPr>
                <w:rFonts w:ascii="Cambria Math" w:eastAsiaTheme="minorEastAsia" w:hAnsi="Cambria Math"/>
                <w:i/>
                <w:sz w:val="24"/>
              </w:rPr>
            </m:ctrlPr>
          </m:accPr>
          <m:e>
            <m:r>
              <w:rPr>
                <w:rFonts w:ascii="Cambria Math" w:eastAsiaTheme="minorEastAsia" w:hAnsi="Cambria Math"/>
                <w:sz w:val="24"/>
              </w:rPr>
              <m:t>p</m:t>
            </m:r>
          </m:e>
        </m:acc>
        <m:r>
          <w:rPr>
            <w:rFonts w:ascii="Cambria Math" w:eastAsiaTheme="minorEastAsia"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j</m:t>
            </m:r>
          </m:sub>
        </m:sSub>
      </m:oMath>
      <w:r>
        <w:rPr>
          <w:rFonts w:eastAsiaTheme="minorEastAsia"/>
          <w:sz w:val="24"/>
        </w:rPr>
        <w:t xml:space="preserve"> where </w:t>
      </w:r>
      <m:oMath>
        <m:acc>
          <m:accPr>
            <m:chr m:val="̃"/>
            <m:ctrlPr>
              <w:rPr>
                <w:rFonts w:ascii="Cambria Math" w:eastAsiaTheme="minorEastAsia" w:hAnsi="Cambria Math"/>
                <w:i/>
                <w:sz w:val="24"/>
              </w:rPr>
            </m:ctrlPr>
          </m:accPr>
          <m:e>
            <m:r>
              <w:rPr>
                <w:rFonts w:ascii="Cambria Math" w:eastAsiaTheme="minorEastAsia" w:hAnsi="Cambria Math"/>
                <w:sz w:val="24"/>
              </w:rPr>
              <m:t>p</m:t>
            </m:r>
          </m:e>
        </m:acc>
      </m:oMath>
      <w:r>
        <w:rPr>
          <w:rFonts w:eastAsiaTheme="minorEastAsia"/>
          <w:sz w:val="24"/>
        </w:rPr>
        <w:t xml:space="preserve"> represents a potentially stochastic price. Figure 2 presents a cumulative probability function for revenue for the case in which price is fixed at its mean, </w:t>
      </w:r>
      <m:oMath>
        <m:acc>
          <m:accPr>
            <m:chr m:val="̃"/>
            <m:ctrlPr>
              <w:rPr>
                <w:rFonts w:ascii="Cambria Math" w:eastAsiaTheme="minorEastAsia" w:hAnsi="Cambria Math"/>
                <w:i/>
                <w:sz w:val="24"/>
              </w:rPr>
            </m:ctrlPr>
          </m:accPr>
          <m:e>
            <m:r>
              <w:rPr>
                <w:rFonts w:ascii="Cambria Math" w:eastAsiaTheme="minorEastAsia" w:hAnsi="Cambria Math"/>
                <w:sz w:val="24"/>
              </w:rPr>
              <m:t>p</m:t>
            </m:r>
          </m:e>
        </m:acc>
        <m:r>
          <w:rPr>
            <w:rFonts w:ascii="Cambria Math" w:eastAsiaTheme="minorEastAsia" w:hAnsi="Cambria Math"/>
            <w:sz w:val="24"/>
          </w:rPr>
          <m:t>=</m:t>
        </m:r>
        <m:acc>
          <m:accPr>
            <m:chr m:val="̅"/>
            <m:ctrlPr>
              <w:rPr>
                <w:rFonts w:ascii="Cambria Math" w:eastAsiaTheme="minorEastAsia" w:hAnsi="Cambria Math"/>
                <w:i/>
                <w:sz w:val="24"/>
              </w:rPr>
            </m:ctrlPr>
          </m:accPr>
          <m:e>
            <m:r>
              <w:rPr>
                <w:rFonts w:ascii="Cambria Math" w:eastAsiaTheme="minorEastAsia" w:hAnsi="Cambria Math"/>
                <w:sz w:val="24"/>
              </w:rPr>
              <m:t>p</m:t>
            </m:r>
          </m:e>
        </m:acc>
      </m:oMath>
      <w:r>
        <w:rPr>
          <w:rFonts w:eastAsiaTheme="minorEastAsia"/>
          <w:sz w:val="24"/>
        </w:rPr>
        <w:t>, and the case in which price varies independently of yields.</w:t>
      </w:r>
      <w:r w:rsidR="00FD1C10">
        <w:rPr>
          <w:rStyle w:val="FootnoteReference"/>
          <w:rFonts w:eastAsiaTheme="minorEastAsia"/>
          <w:sz w:val="24"/>
        </w:rPr>
        <w:footnoteReference w:id="1"/>
      </w:r>
      <w:r>
        <w:rPr>
          <w:rFonts w:eastAsiaTheme="minorEastAsia"/>
          <w:sz w:val="24"/>
        </w:rPr>
        <w:t xml:space="preserve"> </w:t>
      </w:r>
      <w:r w:rsidR="00406E39">
        <w:rPr>
          <w:rFonts w:eastAsiaTheme="minorEastAsia"/>
          <w:sz w:val="24"/>
        </w:rPr>
        <w:t xml:space="preserve">We find that price variability introduces additional risk into farmers’ revenue, which implies that purely yield based index insurance policies may include greater basis risk than previously thought when we only </w:t>
      </w:r>
      <w:r w:rsidR="006D5CB1">
        <w:rPr>
          <w:rFonts w:eastAsiaTheme="minorEastAsia"/>
          <w:sz w:val="24"/>
        </w:rPr>
        <w:t>consider</w:t>
      </w:r>
      <w:r w:rsidR="00406E39">
        <w:rPr>
          <w:rFonts w:eastAsiaTheme="minorEastAsia"/>
          <w:sz w:val="24"/>
        </w:rPr>
        <w:t xml:space="preserve"> basis risk in terms of yields. </w:t>
      </w:r>
    </w:p>
    <w:p w14:paraId="74F67DF5" w14:textId="2F4B047C" w:rsidR="00763CA3" w:rsidRDefault="00763CA3" w:rsidP="0090513F">
      <w:pPr>
        <w:spacing w:after="0" w:line="240" w:lineRule="auto"/>
        <w:jc w:val="both"/>
        <w:rPr>
          <w:rFonts w:eastAsiaTheme="minorEastAsia"/>
          <w:sz w:val="24"/>
        </w:rPr>
      </w:pPr>
    </w:p>
    <w:p w14:paraId="6BF7D2D9" w14:textId="77777777" w:rsidR="00763CA3" w:rsidRDefault="00763CA3" w:rsidP="0090513F">
      <w:pPr>
        <w:spacing w:after="0" w:line="240" w:lineRule="auto"/>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744A2" w14:paraId="45681399" w14:textId="77777777" w:rsidTr="00C744A2">
        <w:tc>
          <w:tcPr>
            <w:tcW w:w="9350" w:type="dxa"/>
            <w:tcBorders>
              <w:bottom w:val="single" w:sz="4" w:space="0" w:color="auto"/>
            </w:tcBorders>
          </w:tcPr>
          <w:p w14:paraId="63DA3675" w14:textId="5EA76699" w:rsidR="00C744A2" w:rsidRPr="00C744A2" w:rsidRDefault="00C744A2" w:rsidP="0090513F">
            <w:pPr>
              <w:jc w:val="both"/>
              <w:rPr>
                <w:sz w:val="24"/>
              </w:rPr>
            </w:pPr>
            <w:r>
              <w:rPr>
                <w:sz w:val="24"/>
              </w:rPr>
              <w:t>Figure 2: Cumulative Revenue Probability With Stochastic Prices</w:t>
            </w:r>
          </w:p>
        </w:tc>
      </w:tr>
      <w:tr w:rsidR="00C744A2" w14:paraId="4B1617DE" w14:textId="77777777" w:rsidTr="006D5CB1">
        <w:tc>
          <w:tcPr>
            <w:tcW w:w="9350" w:type="dxa"/>
            <w:tcBorders>
              <w:top w:val="single" w:sz="4" w:space="0" w:color="auto"/>
              <w:bottom w:val="single" w:sz="4" w:space="0" w:color="auto"/>
            </w:tcBorders>
          </w:tcPr>
          <w:p w14:paraId="71D0C837" w14:textId="135D84F6" w:rsidR="00C744A2" w:rsidRDefault="003B4024" w:rsidP="0090513F">
            <w:pPr>
              <w:jc w:val="both"/>
              <w:rPr>
                <w:sz w:val="24"/>
              </w:rPr>
            </w:pPr>
            <w:r>
              <w:rPr>
                <w:noProof/>
                <w:sz w:val="24"/>
              </w:rPr>
              <mc:AlternateContent>
                <mc:Choice Requires="wpg">
                  <w:drawing>
                    <wp:anchor distT="0" distB="0" distL="114300" distR="114300" simplePos="0" relativeHeight="251666432" behindDoc="0" locked="0" layoutInCell="1" allowOverlap="1" wp14:anchorId="581A4A0E" wp14:editId="547A25C2">
                      <wp:simplePos x="0" y="0"/>
                      <wp:positionH relativeFrom="column">
                        <wp:posOffset>13855</wp:posOffset>
                      </wp:positionH>
                      <wp:positionV relativeFrom="paragraph">
                        <wp:posOffset>1197725</wp:posOffset>
                      </wp:positionV>
                      <wp:extent cx="405491" cy="1537855"/>
                      <wp:effectExtent l="0" t="0" r="13970" b="24765"/>
                      <wp:wrapNone/>
                      <wp:docPr id="7" name="Group 7"/>
                      <wp:cNvGraphicFramePr/>
                      <a:graphic xmlns:a="http://schemas.openxmlformats.org/drawingml/2006/main">
                        <a:graphicData uri="http://schemas.microsoft.com/office/word/2010/wordprocessingGroup">
                          <wpg:wgp>
                            <wpg:cNvGrpSpPr/>
                            <wpg:grpSpPr>
                              <a:xfrm>
                                <a:off x="0" y="0"/>
                                <a:ext cx="405491" cy="1537855"/>
                                <a:chOff x="0" y="0"/>
                                <a:chExt cx="405491" cy="1537855"/>
                              </a:xfrm>
                            </wpg:grpSpPr>
                            <wps:wsp>
                              <wps:cNvPr id="2" name="Rectangle 2"/>
                              <wps:cNvSpPr/>
                              <wps:spPr>
                                <a:xfrm>
                                  <a:off x="149182" y="0"/>
                                  <a:ext cx="256309" cy="15378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rot="16200000">
                                  <a:off x="-249136" y="516082"/>
                                  <a:ext cx="886200" cy="387927"/>
                                </a:xfrm>
                                <a:prstGeom prst="rect">
                                  <a:avLst/>
                                </a:prstGeom>
                                <a:solidFill>
                                  <a:schemeClr val="lt1"/>
                                </a:solidFill>
                                <a:ln w="6350">
                                  <a:noFill/>
                                </a:ln>
                              </wps:spPr>
                              <wps:txbx>
                                <w:txbxContent>
                                  <w:p w14:paraId="2DF99FB2" w14:textId="77777777" w:rsidR="00AA7BE3" w:rsidRPr="003B4024" w:rsidRDefault="00AA7BE3" w:rsidP="003B4024">
                                    <w:pPr>
                                      <w:rPr>
                                        <w:b/>
                                      </w:rPr>
                                    </w:pPr>
                                    <w:r w:rsidRPr="003B4024">
                                      <w:rPr>
                                        <w:b/>
                                      </w:rP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1A4A0E" id="Group 7" o:spid="_x0000_s1026" style="position:absolute;left:0;text-align:left;margin-left:1.1pt;margin-top:94.3pt;width:31.95pt;height:121.1pt;z-index:251666432" coordsize="4054,1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PDXgMAAOEJAAAOAAAAZHJzL2Uyb0RvYy54bWzcVttu1DAQfUfiHyy/01x2s7uNmqJSaIVU&#10;lYoW8ex1nIvk2Mb2Nilfz9hOsmVb8VAEQuxD1peZ8czxmZOcvB06ju6ZNq0UBU6OYoyYoLJsRV3g&#10;L3cXbzYYGUtESbgUrMAPzOC3p69fnfQqZ6lsJC+ZRhBEmLxXBW6sVXkUGdqwjpgjqZiAzUrqjliY&#10;6joqNekhesejNI5XUS91qbSkzBhYfR828amPX1WM2k9VZZhFvMCQm/VP7Z9b94xOT0hea6Kalo5p&#10;kBdk0ZFWwKFzqPfEErTT7ZNQXUu1NLKyR1R2kayqljJfA1STxAfVXGq5U76WOu9rNcME0B7g9OKw&#10;9Pr+RqO2LPAaI0E6uCJ/Klo7aHpV52BxqdWtutHjQh1mrtqh0p37hzrQ4EF9mEFlg0UUFpdxtjxO&#10;MKKwlWSL9SbLAuq0gat54kabD792jKZjI5fdnEyvgEBmj5H5PYxuG6KYh944BEaM0gmjz0AsImrO&#10;UBpw8lYzSCY3gNczCCUAxQaiPIUpzVaL+PgJTHO1JFfa2EsmO+QGBdaQgqccub8yFu4GTCcTd7KR&#10;vC0vWs79xPUTO+ca3RPohG2duLTB4ycrLl7kCGGcJ9zHVLcf2QfOXDwuPrMKKAZcSH3Cvrn3yRBK&#10;mbBJ2GpIyUKOWQy/KcspfZ+zD+giV1DdHHsMMFmGIFPsUOxo71yZ14bZOf5VYsF59vAnS2Fn564V&#10;Uj8XgENV48nBfgIpQONQ2sryAcilZVAmo+hFC9d7RYy9IRqkCEQL5NV+gkfFZV9gOY4waqT+/ty6&#10;swf2wy5GPUhbgc23HdEMI/5RQF8cJ8ul00I/WWbrFCb68c728Y7YdecSOAMtDNn5obO3fBpWWnZf&#10;QYXP3KmwRQSFswtMrZ4m5zZILug4ZWdn3gz0TxF7JW4VdcEdqo6+d8NXotXIcQsici2nXiT5AdWD&#10;rfMU8mxnZdX6PtjjOuINuuC07C8IxGISiDsnf+/kgBYH+oDsAMuuYmCG75NHShF4kKzgzebI7yob&#10;pfVNCsqxWHnlyJJVDCIC/sDjUSw3G+cU5GOxWR+nXr//jHrsaX2gHgjouVpkIXEhnfgE+j8jD3bY&#10;DiMC/3EP2H+pA/wLE74jvIiO3zzuQ+Xx3HfM/svs9AcAAAD//wMAUEsDBBQABgAIAAAAIQB0TA8+&#10;4gAAAA0BAAAPAAAAZHJzL2Rvd25yZXYueG1sTE9Na4NAEL0X+h+WKfTWrJpWxLiGkH6cQqFJofS2&#10;cScqcWfF3aj5952e2svAzHvzPor1bDsx4uBbRwriRQQCqXKmpVrB5+H1IQPhgyajO0eo4Ioe1uXt&#10;TaFz4yb6wHEfasEi5HOtoAmhz6X0VYNW+4XrkRg7ucHqwOtQSzPoicVtJ5MoSqXVLbFDo3vcNlid&#10;9xer4G3S02YZv4y782l7/T48vX/tYlTq/m5+XvHYrEAEnMPfB/x24PxQcrCju5DxolOQJEzkc5al&#10;IBhP0xjEUcHjMspAloX836L8AQAA//8DAFBLAQItABQABgAIAAAAIQC2gziS/gAAAOEBAAATAAAA&#10;AAAAAAAAAAAAAAAAAABbQ29udGVudF9UeXBlc10ueG1sUEsBAi0AFAAGAAgAAAAhADj9If/WAAAA&#10;lAEAAAsAAAAAAAAAAAAAAAAALwEAAF9yZWxzLy5yZWxzUEsBAi0AFAAGAAgAAAAhAFfmE8NeAwAA&#10;4QkAAA4AAAAAAAAAAAAAAAAALgIAAGRycy9lMm9Eb2MueG1sUEsBAi0AFAAGAAgAAAAhAHRMDz7i&#10;AAAADQEAAA8AAAAAAAAAAAAAAAAAuAUAAGRycy9kb3ducmV2LnhtbFBLBQYAAAAABAAEAPMAAADH&#10;BgAAAAA=&#10;">
                      <v:rect id="Rectangle 2" o:spid="_x0000_s1027" style="position:absolute;left:1491;width:2563;height:15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KxwAAAN8AAAAPAAAAZHJzL2Rvd25yZXYueG1sRI9Pa8JA&#10;FMTvBb/D8gRvujGH/omuUmyLFXpotaDHR/ZtEpp9G7KbGL+9Kwi9DAzD/IZZrgdbi55aXzlWMJ8l&#10;IIhzpysuFPwePqbPIHxA1lg7JgUX8rBejR6WmGl35h/q96EQEcI+QwVlCE0mpc9LsuhnriGOmXGt&#10;xRBtW0jd4jnCbS3TJHmUFiuOCyU2tCkp/9t3VsHJ4PbwvvNf0qS9eam+u6N56pSajIe3RZTXBYhA&#10;Q/hv3BGfWkEKtz/xC8jVFQAA//8DAFBLAQItABQABgAIAAAAIQDb4fbL7gAAAIUBAAATAAAAAAAA&#10;AAAAAAAAAAAAAABbQ29udGVudF9UeXBlc10ueG1sUEsBAi0AFAAGAAgAAAAhAFr0LFu/AAAAFQEA&#10;AAsAAAAAAAAAAAAAAAAAHwEAAF9yZWxzLy5yZWxzUEsBAi0AFAAGAAgAAAAhAGSxT4rHAAAA3wAA&#10;AA8AAAAAAAAAAAAAAAAABwIAAGRycy9kb3ducmV2LnhtbFBLBQYAAAAAAwADALcAAAD7AgAAAAA=&#10;" fillcolor="white [3212]" strokecolor="white [3212]" strokeweight="1pt"/>
                      <v:shapetype id="_x0000_t202" coordsize="21600,21600" o:spt="202" path="m,l,21600r21600,l21600,xe">
                        <v:stroke joinstyle="miter"/>
                        <v:path gradientshapeok="t" o:connecttype="rect"/>
                      </v:shapetype>
                      <v:shape id="Text Box 3" o:spid="_x0000_s1028" type="#_x0000_t202" style="position:absolute;left:-2491;top:5160;width:8862;height:38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gvxAAAAN8AAAAPAAAAZHJzL2Rvd25yZXYueG1sRI9BawIx&#10;FITvQv9DeIXeNFsFkdUooi14rduDx8fmdbN087Lsi2brr28KQi8DwzDfMJvd6Dt1o0HawAZeZwUo&#10;4jrYlhsDn9X7dAVKIrLFLjAZ+CGB3fZpssHShsQfdDvHRmUIS4kGXIx9qbXUjjzKLPTEOfsKg8eY&#10;7dBoO2DKcN/peVEstceW84LDng6O6u/z1RuQtzQvRkn31bVyoivf3C/HZMzL83hcZ9mvQUUa43/j&#10;gThZAwv4+5O/gN7+AgAA//8DAFBLAQItABQABgAIAAAAIQDb4fbL7gAAAIUBAAATAAAAAAAAAAAA&#10;AAAAAAAAAABbQ29udGVudF9UeXBlc10ueG1sUEsBAi0AFAAGAAgAAAAhAFr0LFu/AAAAFQEAAAsA&#10;AAAAAAAAAAAAAAAAHwEAAF9yZWxzLy5yZWxzUEsBAi0AFAAGAAgAAAAhABhZGC/EAAAA3wAAAA8A&#10;AAAAAAAAAAAAAAAABwIAAGRycy9kb3ducmV2LnhtbFBLBQYAAAAAAwADALcAAAD4AgAAAAA=&#10;" fillcolor="white [3201]" stroked="f" strokeweight=".5pt">
                        <v:textbox>
                          <w:txbxContent>
                            <w:p w14:paraId="2DF99FB2" w14:textId="77777777" w:rsidR="00AA7BE3" w:rsidRPr="003B4024" w:rsidRDefault="00AA7BE3" w:rsidP="003B4024">
                              <w:pPr>
                                <w:rPr>
                                  <w:b/>
                                </w:rPr>
                              </w:pPr>
                              <w:r w:rsidRPr="003B4024">
                                <w:rPr>
                                  <w:b/>
                                </w:rPr>
                                <w:t>Probability</w:t>
                              </w:r>
                            </w:p>
                          </w:txbxContent>
                        </v:textbox>
                      </v:shape>
                    </v:group>
                  </w:pict>
                </mc:Fallback>
              </mc:AlternateContent>
            </w:r>
            <w:r>
              <w:rPr>
                <w:noProof/>
                <w:sz w:val="24"/>
              </w:rPr>
              <mc:AlternateContent>
                <mc:Choice Requires="wpg">
                  <w:drawing>
                    <wp:anchor distT="0" distB="0" distL="114300" distR="114300" simplePos="0" relativeHeight="251662336" behindDoc="0" locked="0" layoutInCell="1" allowOverlap="1" wp14:anchorId="557538AA" wp14:editId="3B280407">
                      <wp:simplePos x="0" y="0"/>
                      <wp:positionH relativeFrom="column">
                        <wp:posOffset>1420611</wp:posOffset>
                      </wp:positionH>
                      <wp:positionV relativeFrom="paragraph">
                        <wp:posOffset>3766820</wp:posOffset>
                      </wp:positionV>
                      <wp:extent cx="2625436" cy="284018"/>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2625436" cy="284018"/>
                                <a:chOff x="0" y="0"/>
                                <a:chExt cx="2625436" cy="284018"/>
                              </a:xfrm>
                            </wpg:grpSpPr>
                            <wps:wsp>
                              <wps:cNvPr id="8" name="Rectangle 8"/>
                              <wps:cNvSpPr/>
                              <wps:spPr>
                                <a:xfrm>
                                  <a:off x="0" y="34637"/>
                                  <a:ext cx="2625436" cy="200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07818" y="0"/>
                                  <a:ext cx="2362200" cy="284018"/>
                                </a:xfrm>
                                <a:prstGeom prst="rect">
                                  <a:avLst/>
                                </a:prstGeom>
                                <a:solidFill>
                                  <a:schemeClr val="lt1"/>
                                </a:solidFill>
                                <a:ln w="6350">
                                  <a:noFill/>
                                </a:ln>
                              </wps:spPr>
                              <wps:txbx>
                                <w:txbxContent>
                                  <w:p w14:paraId="05203BBB" w14:textId="1DE31185" w:rsidR="00AA7BE3" w:rsidRPr="003B4024" w:rsidRDefault="00AA7BE3">
                                    <w:pPr>
                                      <w:rPr>
                                        <w:b/>
                                      </w:rPr>
                                    </w:pPr>
                                    <w:r w:rsidRPr="003B4024">
                                      <w:rPr>
                                        <w:b/>
                                      </w:rPr>
                                      <w:t>Revenue (as a % of average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7538AA" id="Group 10" o:spid="_x0000_s1029" style="position:absolute;left:0;text-align:left;margin-left:111.85pt;margin-top:296.6pt;width:206.75pt;height:22.35pt;z-index:251662336" coordsize="2625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DyPgMAAK0JAAAOAAAAZHJzL2Uyb0RvYy54bWzcVtlO3DAUfa/Uf7D8XpJZmYkIaAoFVUKA&#10;gIpnj+MskmO7toeEfn2v7SQDw1KJqlXVech4uYvv8bknOThqa47umTaVFCke7cUYMUFlVokixd9u&#10;Tz8tMDKWiIxwKViKH5jBR4cfPxw0KmFjWUqeMY0giDBJo1JcWquSKDK0ZDUxe1IxAZu51DWxMNVF&#10;lGnSQPSaR+M4nkeN1JnSkjJjYPUkbOJDHz/PGbWXeW6YRTzFcDbrn9o/1+4ZHR6QpNBElRXtjkHe&#10;cYqaVAKSDqFOiCVoo6tnoeqKamlkbveorCOZ5xVlvgaoZhTvVHOm5Ub5WoqkKdQAE0C7g9O7w9KL&#10;+yuNqgzuDuARpIY78mkRzAGcRhUJ2JxpdaOudLdQhJmrt8117f6hEtR6WB8GWFlrEYXF8Xw8m07m&#10;GFHYGy+m8WgRcKclXM4zN1p+edsx6tNG7nTDYRoFFDJblMzvoXRTEsU8+MYh0KEEdA4gXQO1iCg4&#10;Q74YlxysBpBMYgCvVxGaTOeT/QDCyyjF8WI5cgZDsSRR2tgzJmvkBinWcALPOXJ/bmww7U1cYiN5&#10;lZ1WnPuJayh2zDW6J9AK66IP/sSKC2crpPMKAd0KwNyX40f2gTNnx8U1y4E77or9QXzXbpMQSpmw&#10;o7BVkoyF3LMYfl1pg4cv1Ad0kXPIP8TuAjwtoI8dTtnZO1fmm35wjt86WHAePHxmKezgXFdC6pcC&#10;cKiqyxzse5ACNA6ltcwegDNaBskxip5WcG3nxNgrokFjoN1AN+0lPHIumxTLboRRKfWPl9adPZAa&#10;djFqQLNSbL5viGYY8a8C6L4cTadO5PxkOtsfw0Q/3lk/3hGb+lgCF0ag0Ir6obO3vB/mWtZ3IK8r&#10;lxW2iKCQO8XU6n5ybIOWgkBTtlp5MxA2Rey5uFHUBXeoOlretndEq467Flh/IfsWI8kOhYOt8xRy&#10;tbEyrzy/t7h2eEO7O4n6C32/7Pv+1vXrZ9mipWOAy921PbItLLuKu/VXBGAc7y9AANELOjmZj+Gd&#10;tquTf0YBthTeUQAEVJxPZqFxfiEFtl234eXRF/0f097+S6T3rz74JvC62X2/uI+Ox3PfJNuvrMOf&#10;AAAA//8DAFBLAwQUAAYACAAAACEAtAPvxOEAAAALAQAADwAAAGRycy9kb3ducmV2LnhtbEyPTUvD&#10;QBCG74L/YRnBm9180NbGbEop6qkItoJ4m2anSWh2NmS3SfrvXb3o7R3m4Z1n8vVkWjFQ7xrLCuJZ&#10;BIK4tLrhSsHH4eXhEYTzyBpby6TgSg7Wxe1Njpm2I7/TsPeVCCXsMlRQe99lUrqyJoNuZjvisDvZ&#10;3qAPY19J3eMYyk0rkyhaSIMNhws1drStqTzvL0bB64jjJo2fh935tL1+HeZvn7uYlLq/mzZPIDxN&#10;/g+GH/2gDkVwOtoLaydaBUmSLgOqYL5KExCBWKTLEI6/YQWyyOX/H4pvAAAA//8DAFBLAQItABQA&#10;BgAIAAAAIQC2gziS/gAAAOEBAAATAAAAAAAAAAAAAAAAAAAAAABbQ29udGVudF9UeXBlc10ueG1s&#10;UEsBAi0AFAAGAAgAAAAhADj9If/WAAAAlAEAAAsAAAAAAAAAAAAAAAAALwEAAF9yZWxzLy5yZWxz&#10;UEsBAi0AFAAGAAgAAAAhAAHMAPI+AwAArQkAAA4AAAAAAAAAAAAAAAAALgIAAGRycy9lMm9Eb2Mu&#10;eG1sUEsBAi0AFAAGAAgAAAAhALQD78ThAAAACwEAAA8AAAAAAAAAAAAAAAAAmAUAAGRycy9kb3du&#10;cmV2LnhtbFBLBQYAAAAABAAEAPMAAACmBgAAAAA=&#10;">
                      <v:rect id="Rectangle 8" o:spid="_x0000_s1030" style="position:absolute;top:346;width:26254;height: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shape id="Text Box 9" o:spid="_x0000_s1031" type="#_x0000_t202" style="position:absolute;left:2078;width:23622;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5203BBB" w14:textId="1DE31185" w:rsidR="00AA7BE3" w:rsidRPr="003B4024" w:rsidRDefault="00AA7BE3">
                              <w:pPr>
                                <w:rPr>
                                  <w:b/>
                                </w:rPr>
                              </w:pPr>
                              <w:r w:rsidRPr="003B4024">
                                <w:rPr>
                                  <w:b/>
                                </w:rPr>
                                <w:t xml:space="preserve">Revenue (as a </w:t>
                              </w:r>
                              <w:proofErr w:type="gramStart"/>
                              <w:r w:rsidRPr="003B4024">
                                <w:rPr>
                                  <w:b/>
                                </w:rPr>
                                <w:t>%</w:t>
                              </w:r>
                              <w:proofErr w:type="gramEnd"/>
                              <w:r w:rsidRPr="003B4024">
                                <w:rPr>
                                  <w:b/>
                                </w:rPr>
                                <w:t xml:space="preserve"> of average revenue)</w:t>
                              </w:r>
                            </w:p>
                          </w:txbxContent>
                        </v:textbox>
                      </v:shape>
                    </v:group>
                  </w:pict>
                </mc:Fallback>
              </mc:AlternateContent>
            </w:r>
            <w:r w:rsidR="00CB1253" w:rsidRPr="00CB1253">
              <w:rPr>
                <w:noProof/>
                <w:sz w:val="24"/>
              </w:rPr>
              <w:drawing>
                <wp:inline distT="0" distB="0" distL="0" distR="0" wp14:anchorId="1F0215CE" wp14:editId="15951648">
                  <wp:extent cx="5324475" cy="399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44C4C067" w14:textId="6DCC6143" w:rsidR="003B4024" w:rsidRPr="00C744A2" w:rsidRDefault="003B4024" w:rsidP="0090513F">
            <w:pPr>
              <w:jc w:val="both"/>
              <w:rPr>
                <w:sz w:val="24"/>
              </w:rPr>
            </w:pPr>
          </w:p>
        </w:tc>
      </w:tr>
      <w:tr w:rsidR="00C744A2" w14:paraId="40D83460" w14:textId="77777777" w:rsidTr="006D5CB1">
        <w:tc>
          <w:tcPr>
            <w:tcW w:w="9350" w:type="dxa"/>
            <w:tcBorders>
              <w:top w:val="single" w:sz="4" w:space="0" w:color="auto"/>
              <w:bottom w:val="single" w:sz="4" w:space="0" w:color="auto"/>
            </w:tcBorders>
          </w:tcPr>
          <w:p w14:paraId="299E816E" w14:textId="035B8B07" w:rsidR="00C744A2" w:rsidRPr="00C744A2" w:rsidRDefault="00C744A2" w:rsidP="0090513F">
            <w:pPr>
              <w:jc w:val="both"/>
              <w:rPr>
                <w:sz w:val="24"/>
              </w:rPr>
            </w:pPr>
            <w:r>
              <w:rPr>
                <w:sz w:val="24"/>
              </w:rPr>
              <w:t xml:space="preserve">Here we present the CDF for simulated revenue data when assuming the price is fixed and assuming that price is stochastic. </w:t>
            </w:r>
          </w:p>
        </w:tc>
      </w:tr>
    </w:tbl>
    <w:p w14:paraId="1CF14316" w14:textId="7B0728F8" w:rsidR="00C744A2" w:rsidRDefault="00C744A2" w:rsidP="0090513F">
      <w:pPr>
        <w:spacing w:after="0" w:line="240" w:lineRule="auto"/>
        <w:jc w:val="both"/>
        <w:rPr>
          <w:i/>
          <w:sz w:val="24"/>
        </w:rPr>
      </w:pPr>
    </w:p>
    <w:p w14:paraId="279869A5" w14:textId="1D1994D1" w:rsidR="00C744A2" w:rsidRDefault="00C744A2" w:rsidP="0090513F">
      <w:pPr>
        <w:spacing w:after="0" w:line="240" w:lineRule="auto"/>
        <w:jc w:val="both"/>
        <w:rPr>
          <w:i/>
          <w:sz w:val="24"/>
        </w:rPr>
      </w:pPr>
    </w:p>
    <w:p w14:paraId="72FC0092" w14:textId="25A66523" w:rsidR="00BA136E" w:rsidRDefault="00CB3056" w:rsidP="006D5CB1">
      <w:pPr>
        <w:spacing w:after="0" w:line="240" w:lineRule="auto"/>
        <w:jc w:val="both"/>
        <w:rPr>
          <w:rFonts w:eastAsiaTheme="minorEastAsia"/>
          <w:sz w:val="24"/>
        </w:rPr>
      </w:pPr>
      <w:r>
        <w:rPr>
          <w:sz w:val="24"/>
        </w:rPr>
        <w:t>We</w:t>
      </w:r>
      <w:r w:rsidR="006D5CB1">
        <w:rPr>
          <w:sz w:val="24"/>
        </w:rPr>
        <w:t xml:space="preserve"> model two</w:t>
      </w:r>
      <w:r>
        <w:rPr>
          <w:sz w:val="24"/>
        </w:rPr>
        <w:t xml:space="preserve"> index insurance policies to explore the differences in basis risk that may be present when price varies. </w:t>
      </w:r>
      <w:r w:rsidR="006D5CB1">
        <w:rPr>
          <w:sz w:val="24"/>
        </w:rPr>
        <w:t>First, we model the yield based index insurance policy as</w:t>
      </w:r>
      <w:r w:rsidR="00BA136E">
        <w:rPr>
          <w:sz w:val="24"/>
        </w:rPr>
        <w:t xml:space="preserve"> a contract that pays</w:t>
      </w:r>
      <w:r w:rsidR="006D5CB1">
        <w:rPr>
          <w:sz w:val="24"/>
        </w:rPr>
        <w:t xml:space="preserve"> out when the covariant shock drops below some trigger </w:t>
      </w:r>
      <m:oMath>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θ</m:t>
                </m:r>
              </m:e>
              <m:sub>
                <m:r>
                  <w:rPr>
                    <w:rFonts w:ascii="Cambria Math" w:hAnsi="Cambria Math"/>
                    <w:sz w:val="24"/>
                  </w:rPr>
                  <m:t>c</m:t>
                </m:r>
              </m:sub>
            </m:sSub>
          </m:e>
        </m:acc>
      </m:oMath>
      <w:r w:rsidR="00BA136E">
        <w:rPr>
          <w:rFonts w:eastAsiaTheme="minorEastAsia"/>
          <w:sz w:val="24"/>
        </w:rPr>
        <w:t>, makes</w:t>
      </w:r>
      <w:r w:rsidR="006D5CB1">
        <w:rPr>
          <w:rFonts w:eastAsiaTheme="minorEastAsia"/>
          <w:sz w:val="24"/>
        </w:rPr>
        <w:t xml:space="preserve"> payouts of </w:t>
      </w:r>
      <m:oMath>
        <m:r>
          <w:rPr>
            <w:rFonts w:ascii="Cambria Math" w:eastAsiaTheme="minorEastAsia" w:hAnsi="Cambria Math"/>
            <w:sz w:val="24"/>
          </w:rPr>
          <m:t>(</m:t>
        </m:r>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θ</m:t>
                </m:r>
              </m:e>
              <m:sub>
                <m:r>
                  <w:rPr>
                    <w:rFonts w:ascii="Cambria Math" w:hAnsi="Cambria Math"/>
                    <w:sz w:val="24"/>
                  </w:rPr>
                  <m:t>c</m:t>
                </m:r>
              </m:sub>
            </m:sSub>
          </m:e>
        </m:acc>
        <m:r>
          <w:rPr>
            <w:rFonts w:ascii="Cambria Math" w:hAnsi="Cambria Math"/>
            <w:sz w:val="24"/>
          </w:rPr>
          <m:t>-</m:t>
        </m:r>
        <m:sSub>
          <m:sSubPr>
            <m:ctrlPr>
              <w:rPr>
                <w:rFonts w:ascii="Cambria Math" w:hAnsi="Cambria Math"/>
                <w:i/>
                <w:sz w:val="24"/>
              </w:rPr>
            </m:ctrlPr>
          </m:sSubPr>
          <m:e>
            <m:r>
              <w:rPr>
                <w:rFonts w:ascii="Cambria Math" w:hAnsi="Cambria Math"/>
                <w:sz w:val="24"/>
              </w:rPr>
              <m:t>θ</m:t>
            </m:r>
          </m:e>
          <m:sub>
            <m:r>
              <w:rPr>
                <w:rFonts w:ascii="Cambria Math" w:hAnsi="Cambria Math"/>
                <w:sz w:val="24"/>
              </w:rPr>
              <m:t>c</m:t>
            </m:r>
          </m:sub>
        </m:sSub>
        <m:r>
          <w:rPr>
            <w:rFonts w:ascii="Cambria Math" w:hAnsi="Cambria Math"/>
            <w:sz w:val="24"/>
          </w:rPr>
          <m:t>)*g</m:t>
        </m:r>
      </m:oMath>
      <w:r w:rsidR="00BA136E">
        <w:rPr>
          <w:rFonts w:eastAsiaTheme="minorEastAsia"/>
          <w:sz w:val="24"/>
        </w:rPr>
        <w:t>, and</w:t>
      </w:r>
      <w:r w:rsidR="006D5CB1">
        <w:rPr>
          <w:rFonts w:eastAsiaTheme="minorEastAsia"/>
          <w:sz w:val="24"/>
        </w:rPr>
        <w:t xml:space="preserve"> charg</w:t>
      </w:r>
      <w:r w:rsidR="00BA136E">
        <w:rPr>
          <w:rFonts w:eastAsiaTheme="minorEastAsia"/>
          <w:sz w:val="24"/>
        </w:rPr>
        <w:t>es</w:t>
      </w:r>
      <w:r w:rsidR="006D5CB1">
        <w:rPr>
          <w:rFonts w:eastAsiaTheme="minorEastAsia"/>
          <w:sz w:val="24"/>
        </w:rPr>
        <w:t xml:space="preserve"> a premium of </w:t>
      </w:r>
      <m:oMath>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y</m:t>
            </m:r>
          </m:sub>
        </m:sSub>
      </m:oMath>
      <w:r w:rsidR="006D5CB1">
        <w:rPr>
          <w:rFonts w:eastAsiaTheme="minorEastAsia"/>
          <w:sz w:val="24"/>
        </w:rPr>
        <w:t>.</w:t>
      </w:r>
      <w:r w:rsidR="00BA136E">
        <w:rPr>
          <w:rFonts w:eastAsiaTheme="minorEastAsia"/>
          <w:sz w:val="24"/>
        </w:rPr>
        <w:t xml:space="preserve"> Second, we model the revenue insurance as the combination of the yield contract and a price contract. The price contract pays out when the price drops below some trigger </w:t>
      </w:r>
      <m:oMath>
        <m:acc>
          <m:accPr>
            <m:ctrlPr>
              <w:rPr>
                <w:rFonts w:ascii="Cambria Math" w:eastAsiaTheme="minorEastAsia" w:hAnsi="Cambria Math"/>
                <w:i/>
                <w:sz w:val="24"/>
              </w:rPr>
            </m:ctrlPr>
          </m:accPr>
          <m:e>
            <m:r>
              <w:rPr>
                <w:rFonts w:ascii="Cambria Math" w:eastAsiaTheme="minorEastAsia" w:hAnsi="Cambria Math"/>
                <w:sz w:val="24"/>
              </w:rPr>
              <m:t>p</m:t>
            </m:r>
          </m:e>
        </m:acc>
      </m:oMath>
      <w:r w:rsidR="00BA136E">
        <w:rPr>
          <w:rFonts w:eastAsiaTheme="minorEastAsia"/>
          <w:sz w:val="24"/>
        </w:rPr>
        <w:t>, makes payout</w:t>
      </w:r>
      <w:r w:rsidR="008B2DB9">
        <w:rPr>
          <w:rFonts w:eastAsiaTheme="minorEastAsia"/>
          <w:sz w:val="24"/>
        </w:rPr>
        <w:t>s</w:t>
      </w:r>
      <w:r w:rsidR="00BA136E">
        <w:rPr>
          <w:rFonts w:eastAsiaTheme="minorEastAsia"/>
          <w:sz w:val="24"/>
        </w:rPr>
        <w:t xml:space="preserve"> of </w:t>
      </w:r>
      <m:oMath>
        <m:d>
          <m:dPr>
            <m:ctrlPr>
              <w:rPr>
                <w:rFonts w:ascii="Cambria Math" w:eastAsiaTheme="minorEastAsia" w:hAnsi="Cambria Math"/>
                <w:i/>
                <w:sz w:val="24"/>
              </w:rPr>
            </m:ctrlPr>
          </m:dPr>
          <m:e>
            <m:acc>
              <m:accPr>
                <m:ctrlPr>
                  <w:rPr>
                    <w:rFonts w:ascii="Cambria Math" w:hAnsi="Cambria Math"/>
                    <w:i/>
                    <w:sz w:val="24"/>
                  </w:rPr>
                </m:ctrlPr>
              </m:accPr>
              <m:e>
                <m:r>
                  <w:rPr>
                    <w:rFonts w:ascii="Cambria Math" w:hAnsi="Cambria Math"/>
                    <w:sz w:val="24"/>
                  </w:rPr>
                  <m:t>p</m:t>
                </m:r>
              </m:e>
            </m:acc>
            <m:r>
              <w:rPr>
                <w:rFonts w:ascii="Cambria Math" w:hAnsi="Cambria Math"/>
                <w:sz w:val="24"/>
              </w:rPr>
              <m:t>-p</m:t>
            </m:r>
            <m:ctrlPr>
              <w:rPr>
                <w:rFonts w:ascii="Cambria Math" w:hAnsi="Cambria Math"/>
                <w:i/>
                <w:sz w:val="24"/>
              </w:rPr>
            </m:ctrlPr>
          </m:e>
        </m:d>
        <m:r>
          <w:rPr>
            <w:rFonts w:ascii="Cambria Math" w:hAnsi="Cambria Math"/>
            <w:sz w:val="24"/>
          </w:rPr>
          <m:t>*</m:t>
        </m:r>
        <m:sSub>
          <m:sSubPr>
            <m:ctrlPr>
              <w:rPr>
                <w:rFonts w:ascii="Cambria Math" w:hAnsi="Cambria Math"/>
                <w:i/>
                <w:sz w:val="24"/>
              </w:rPr>
            </m:ctrlPr>
          </m:sSubPr>
          <m:e>
            <m:r>
              <w:rPr>
                <w:rFonts w:ascii="Cambria Math" w:hAnsi="Cambria Math"/>
                <w:sz w:val="24"/>
              </w:rPr>
              <m:t>θ</m:t>
            </m:r>
          </m:e>
          <m:sub>
            <m:r>
              <w:rPr>
                <w:rFonts w:ascii="Cambria Math" w:hAnsi="Cambria Math"/>
                <w:sz w:val="24"/>
              </w:rPr>
              <m:t>c</m:t>
            </m:r>
          </m:sub>
        </m:sSub>
        <m:r>
          <w:rPr>
            <w:rFonts w:ascii="Cambria Math" w:hAnsi="Cambria Math"/>
            <w:sz w:val="24"/>
          </w:rPr>
          <m:t>*g</m:t>
        </m:r>
      </m:oMath>
      <w:r w:rsidR="00BA136E">
        <w:rPr>
          <w:rFonts w:eastAsiaTheme="minorEastAsia"/>
          <w:sz w:val="24"/>
        </w:rPr>
        <w:t xml:space="preserve">, and charges a premium </w:t>
      </w:r>
      <m:oMath>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p</m:t>
            </m:r>
          </m:sub>
        </m:sSub>
      </m:oMath>
      <w:r w:rsidR="00BA136E">
        <w:rPr>
          <w:rFonts w:eastAsiaTheme="minorEastAsia"/>
          <w:sz w:val="24"/>
        </w:rPr>
        <w:t xml:space="preserve">. The revenue insurance contract then has a premium of </w:t>
      </w:r>
      <m:oMath>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r</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y</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π</m:t>
            </m:r>
          </m:e>
          <m:sub>
            <m:r>
              <w:rPr>
                <w:rFonts w:ascii="Cambria Math" w:eastAsiaTheme="minorEastAsia" w:hAnsi="Cambria Math"/>
                <w:sz w:val="24"/>
              </w:rPr>
              <m:t>p</m:t>
            </m:r>
          </m:sub>
        </m:sSub>
      </m:oMath>
      <w:r w:rsidR="00BA136E">
        <w:rPr>
          <w:rFonts w:eastAsiaTheme="minorEastAsia"/>
          <w:sz w:val="24"/>
        </w:rPr>
        <w:t xml:space="preserve">. </w:t>
      </w:r>
    </w:p>
    <w:p w14:paraId="785CF555" w14:textId="77777777" w:rsidR="00BA136E" w:rsidRDefault="00BA136E" w:rsidP="006D5CB1">
      <w:pPr>
        <w:spacing w:after="0" w:line="240" w:lineRule="auto"/>
        <w:jc w:val="both"/>
        <w:rPr>
          <w:rFonts w:eastAsiaTheme="minorEastAsia"/>
          <w:sz w:val="24"/>
        </w:rPr>
      </w:pPr>
    </w:p>
    <w:p w14:paraId="4F83FD98" w14:textId="77301680" w:rsidR="00CB3056" w:rsidRDefault="00BA136E" w:rsidP="0090513F">
      <w:pPr>
        <w:spacing w:after="0" w:line="240" w:lineRule="auto"/>
        <w:jc w:val="both"/>
        <w:rPr>
          <w:i/>
          <w:sz w:val="24"/>
        </w:rPr>
      </w:pPr>
      <w:r>
        <w:rPr>
          <w:rFonts w:eastAsiaTheme="minorEastAsia"/>
          <w:sz w:val="24"/>
        </w:rPr>
        <w:t xml:space="preserve">In Figure </w:t>
      </w:r>
      <w:r w:rsidR="00184042">
        <w:rPr>
          <w:rFonts w:eastAsiaTheme="minorEastAsia"/>
          <w:sz w:val="24"/>
        </w:rPr>
        <w:t>3,</w:t>
      </w:r>
      <w:r>
        <w:rPr>
          <w:rFonts w:eastAsiaTheme="minorEastAsia"/>
          <w:sz w:val="24"/>
        </w:rPr>
        <w:t xml:space="preserve"> we present the CDF functions for revenue with stochastic prices without insurance,</w:t>
      </w:r>
      <w:r w:rsidR="008B2DB9">
        <w:rPr>
          <w:rFonts w:eastAsiaTheme="minorEastAsia"/>
          <w:sz w:val="24"/>
        </w:rPr>
        <w:t xml:space="preserve"> with perfect insurance,</w:t>
      </w:r>
      <w:r>
        <w:rPr>
          <w:rFonts w:eastAsiaTheme="minorEastAsia"/>
          <w:sz w:val="24"/>
        </w:rPr>
        <w:t xml:space="preserve"> with yield insurance, and with revenue insurance. We find that revenue insurance out performs yield insurance with respect to the distribution of revenue. By insuring both yields and price, revenue insurance further approaches perfect insurance by reduci</w:t>
      </w:r>
      <w:r w:rsidR="00763CA3">
        <w:rPr>
          <w:rFonts w:eastAsiaTheme="minorEastAsia"/>
          <w:sz w:val="24"/>
        </w:rPr>
        <w:t>ng the probability of experiencing</w:t>
      </w:r>
      <w:r>
        <w:rPr>
          <w:rFonts w:eastAsiaTheme="minorEastAsia"/>
          <w:sz w:val="24"/>
        </w:rPr>
        <w:t xml:space="preserve"> low revenue states and increasing the probability of experiencing high </w:t>
      </w:r>
      <w:r w:rsidR="00763CA3">
        <w:rPr>
          <w:rFonts w:eastAsiaTheme="minorEastAsia"/>
          <w:sz w:val="24"/>
        </w:rPr>
        <w:t>revenue</w:t>
      </w:r>
      <w:r>
        <w:rPr>
          <w:rFonts w:eastAsiaTheme="minorEastAsia"/>
          <w:sz w:val="24"/>
        </w:rPr>
        <w:t xml:space="preserve"> states. </w:t>
      </w:r>
    </w:p>
    <w:p w14:paraId="46583097" w14:textId="404CEFB7" w:rsidR="00EE181A" w:rsidRDefault="00EE181A" w:rsidP="0090513F">
      <w:pPr>
        <w:spacing w:after="0" w:line="240" w:lineRule="auto"/>
        <w:jc w:val="both"/>
        <w:rPr>
          <w:i/>
          <w:sz w:val="24"/>
        </w:rPr>
      </w:pPr>
    </w:p>
    <w:p w14:paraId="629517AB" w14:textId="0CB9F34F" w:rsidR="00EE181A" w:rsidRDefault="00EE181A" w:rsidP="0090513F">
      <w:pPr>
        <w:spacing w:after="0" w:line="240" w:lineRule="auto"/>
        <w:jc w:val="both"/>
        <w:rPr>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B3056" w14:paraId="00BE5A09" w14:textId="77777777" w:rsidTr="00A22DC0">
        <w:tc>
          <w:tcPr>
            <w:tcW w:w="9350" w:type="dxa"/>
            <w:tcBorders>
              <w:bottom w:val="single" w:sz="4" w:space="0" w:color="auto"/>
            </w:tcBorders>
          </w:tcPr>
          <w:p w14:paraId="6FADFC8B" w14:textId="188EA355" w:rsidR="00CB3056" w:rsidRPr="00C744A2" w:rsidRDefault="00CB3056" w:rsidP="00CB3056">
            <w:pPr>
              <w:jc w:val="both"/>
              <w:rPr>
                <w:sz w:val="24"/>
              </w:rPr>
            </w:pPr>
            <w:r>
              <w:rPr>
                <w:sz w:val="24"/>
              </w:rPr>
              <w:t>Figure 3: Cumulative Revenue Probability With Index Insurance Policies</w:t>
            </w:r>
          </w:p>
        </w:tc>
      </w:tr>
      <w:tr w:rsidR="00CB3056" w14:paraId="46CA8FE4" w14:textId="77777777" w:rsidTr="006D5CB1">
        <w:tc>
          <w:tcPr>
            <w:tcW w:w="9350" w:type="dxa"/>
            <w:tcBorders>
              <w:top w:val="single" w:sz="4" w:space="0" w:color="auto"/>
              <w:bottom w:val="single" w:sz="4" w:space="0" w:color="auto"/>
            </w:tcBorders>
          </w:tcPr>
          <w:p w14:paraId="1DAF504D" w14:textId="0E71FEDB" w:rsidR="00CB3056" w:rsidRDefault="003B4024" w:rsidP="00A22DC0">
            <w:pPr>
              <w:jc w:val="both"/>
              <w:rPr>
                <w:sz w:val="24"/>
              </w:rPr>
            </w:pPr>
            <w:r>
              <w:rPr>
                <w:noProof/>
                <w:sz w:val="24"/>
              </w:rPr>
              <mc:AlternateContent>
                <mc:Choice Requires="wpg">
                  <w:drawing>
                    <wp:anchor distT="0" distB="0" distL="114300" distR="114300" simplePos="0" relativeHeight="251668480" behindDoc="0" locked="0" layoutInCell="1" allowOverlap="1" wp14:anchorId="00261308" wp14:editId="7BD57006">
                      <wp:simplePos x="0" y="0"/>
                      <wp:positionH relativeFrom="column">
                        <wp:posOffset>14548</wp:posOffset>
                      </wp:positionH>
                      <wp:positionV relativeFrom="paragraph">
                        <wp:posOffset>1144675</wp:posOffset>
                      </wp:positionV>
                      <wp:extent cx="405491" cy="1537855"/>
                      <wp:effectExtent l="0" t="0" r="13970" b="24765"/>
                      <wp:wrapNone/>
                      <wp:docPr id="14" name="Group 14"/>
                      <wp:cNvGraphicFramePr/>
                      <a:graphic xmlns:a="http://schemas.openxmlformats.org/drawingml/2006/main">
                        <a:graphicData uri="http://schemas.microsoft.com/office/word/2010/wordprocessingGroup">
                          <wpg:wgp>
                            <wpg:cNvGrpSpPr/>
                            <wpg:grpSpPr>
                              <a:xfrm>
                                <a:off x="0" y="0"/>
                                <a:ext cx="405491" cy="1537855"/>
                                <a:chOff x="0" y="0"/>
                                <a:chExt cx="405491" cy="1537855"/>
                              </a:xfrm>
                            </wpg:grpSpPr>
                            <wps:wsp>
                              <wps:cNvPr id="15" name="Rectangle 15"/>
                              <wps:cNvSpPr/>
                              <wps:spPr>
                                <a:xfrm>
                                  <a:off x="149182" y="0"/>
                                  <a:ext cx="256309" cy="15378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249136" y="516082"/>
                                  <a:ext cx="886200" cy="387927"/>
                                </a:xfrm>
                                <a:prstGeom prst="rect">
                                  <a:avLst/>
                                </a:prstGeom>
                                <a:solidFill>
                                  <a:schemeClr val="lt1"/>
                                </a:solidFill>
                                <a:ln w="6350">
                                  <a:noFill/>
                                </a:ln>
                              </wps:spPr>
                              <wps:txbx>
                                <w:txbxContent>
                                  <w:p w14:paraId="05C28A77" w14:textId="77777777" w:rsidR="00AA7BE3" w:rsidRPr="003B4024" w:rsidRDefault="00AA7BE3" w:rsidP="003B4024">
                                    <w:pPr>
                                      <w:rPr>
                                        <w:b/>
                                      </w:rPr>
                                    </w:pPr>
                                    <w:r w:rsidRPr="003B4024">
                                      <w:rPr>
                                        <w:b/>
                                      </w:rP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0261308" id="Group 14" o:spid="_x0000_s1032" style="position:absolute;left:0;text-align:left;margin-left:1.15pt;margin-top:90.15pt;width:31.95pt;height:121.1pt;z-index:251668480" coordsize="4054,1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sfbwMAAO4JAAAOAAAAZHJzL2Uyb0RvYy54bWzcVktv4zYQvhfofyB430iyLccRoizSbBMU&#10;CHaDTYo90xT1ACiSJelI6a/fGVKS0yTYQ1oURX2g+Zjnx5lPPP849pI8Cus6rUqanaSUCMV11amm&#10;pL8/XH/YUeI8UxWTWomSPglHP178/NP5YAqx0q2WlbAEjChXDKakrfemSBLHW9Ezd6KNUHBYa9sz&#10;D0vbJJVlA1jvZbJK020yaFsZq7lwDnY/xUN6EezXteD+S1074YksKcTmw2jDuMcxuThnRWOZaTs+&#10;hcHeEUXPOgVOF1OfmGfkYLtXpvqOW+107U+47hNd1x0XIQfIJktfZHNj9cGEXJpiaMwCE0D7Aqd3&#10;m+WfH+8s6Sq4uw0livVwR8EtgTWAM5imAJkba+7NnZ02mrjCfMfa9vgPmZAxwPq0wCpGTzhsbtJ8&#10;c5ZRwuEoy9enuzyPuPMWLueVGm9//bFiMrtNMLolmMFACbkjSu7voXTfMiMC+A4RmFHKZ5S+Qm0x&#10;1UhBspAOuge5BSZXOEDsDYwyAGO3ouQ1UKt8u07PXgG15MsKY52/EbonOCmphRhC2bHHW+fhdkB0&#10;FkHPTsuuuu6kDAvsKXElLXlk0A37JsNbAI2/SEn1LkUwg5pwI3PeYeafpEB7Un0VNZQZVMMqBBwa&#10;/BgM41won8WjllUixpin8JujnMMPMQeDaLmG7Bbbk4FZMhqZbcdkJ3lUFYEfFuX0R4FF5UUjeNbK&#10;L8p9p7R9y4CErCbPUX4GKUKDKO119QTlZXVkJ2f4dQfXe8ucv2MW6AiICyjWf4GhlnooqZ5mlLTa&#10;/vnWPspD/cMpJQPQW0ndHwdmBSXyNwWdcZZtNsiHYbHJT1ewsM9P9s9P1KG/0lAz0MQQXZiivJfz&#10;tLa6/wZMfIle4YgpDr5Lyr2dF1c+0i5wOReXl0EMONAwf6vuDUfjiCqW78P4jVkz1bgHGvms525k&#10;xYtSj7KoqfTlweu6C31wxHXCG5gB2ezfoIjtTBEPyIC/6JFkW6wB9D4xBPEj7GPO0/5zroiVkG3h&#10;+4blj7lN9PphBdyxBvvAHXm2TYFGQB8qeSLM3Q6VIoGsd6dnq9Op9maansnhH+CPY2G/4A8CBbpd&#10;5zFwpZF+YgO8QRB+3I/h6xMSOV7a/7IZ/H+pFcK3Ex4VgU2nBxC+Wp6vQ+scn2kX3wEAAP//AwBQ&#10;SwMEFAAGAAgAAAAhAEYRE/TfAAAACAEAAA8AAABkcnMvZG93bnJldi54bWxMj0FrwkAQhe+F/odl&#10;Cr3VTWINErMRkbYnKVQLxduYHZNgdjdk1yT++05P9TYz7/Hme/l6Mq0YqPeNswriWQSCbOl0YysF&#10;34f3lyUIH9BqbJ0lBTfysC4eH3LMtBvtFw37UAkOsT5DBXUIXSalL2sy6GeuI8va2fUGA699JXWP&#10;I4ebViZRlEqDjeUPNXa0ram87K9GwceI42Yevw27y3l7Ox4Wnz+7mJR6fpo2KxCBpvBvhj98RoeC&#10;mU7uarUXrYJkzkY+LyMeWE/TBMRJwWuSLEAWubwvUPwCAAD//wMAUEsBAi0AFAAGAAgAAAAhALaD&#10;OJL+AAAA4QEAABMAAAAAAAAAAAAAAAAAAAAAAFtDb250ZW50X1R5cGVzXS54bWxQSwECLQAUAAYA&#10;CAAAACEAOP0h/9YAAACUAQAACwAAAAAAAAAAAAAAAAAvAQAAX3JlbHMvLnJlbHNQSwECLQAUAAYA&#10;CAAAACEAiMl7H28DAADuCQAADgAAAAAAAAAAAAAAAAAuAgAAZHJzL2Uyb0RvYy54bWxQSwECLQAU&#10;AAYACAAAACEARhET9N8AAAAIAQAADwAAAAAAAAAAAAAAAADJBQAAZHJzL2Rvd25yZXYueG1sUEsF&#10;BgAAAAAEAAQA8wAAANUGAAAAAA==&#10;">
                      <v:rect id="Rectangle 15" o:spid="_x0000_s1033" style="position:absolute;left:1491;width:2563;height:15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shape id="Text Box 16" o:spid="_x0000_s1034" type="#_x0000_t202" style="position:absolute;left:-2491;top:5160;width:8862;height:38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cDvwAAANsAAAAPAAAAZHJzL2Rvd25yZXYueG1sRE9NawIx&#10;EL0X+h/CFLzVrB5EVqOItuBVt4ceh810s3QzWXaiWf31Rij0No/3Oevt6Dt1pUHawAZm0wIUcR1s&#10;y42Br+rzfQlKIrLFLjAZuJHAdvP6ssbShsQnup5jo3IIS4kGXIx9qbXUjjzKNPTEmfsJg8eY4dBo&#10;O2DK4b7T86JYaI8t5waHPe0d1b/nizcgH2lejJLuy0vlRFe+uX8fkjGTt3G3AhVpjP/iP/fR5vkL&#10;eP6SD9CbBwAAAP//AwBQSwECLQAUAAYACAAAACEA2+H2y+4AAACFAQAAEwAAAAAAAAAAAAAAAAAA&#10;AAAAW0NvbnRlbnRfVHlwZXNdLnhtbFBLAQItABQABgAIAAAAIQBa9CxbvwAAABUBAAALAAAAAAAA&#10;AAAAAAAAAB8BAABfcmVscy8ucmVsc1BLAQItABQABgAIAAAAIQD7k9cDvwAAANsAAAAPAAAAAAAA&#10;AAAAAAAAAAcCAABkcnMvZG93bnJldi54bWxQSwUGAAAAAAMAAwC3AAAA8wIAAAAA&#10;" fillcolor="white [3201]" stroked="f" strokeweight=".5pt">
                        <v:textbox>
                          <w:txbxContent>
                            <w:p w14:paraId="05C28A77" w14:textId="77777777" w:rsidR="00AA7BE3" w:rsidRPr="003B4024" w:rsidRDefault="00AA7BE3" w:rsidP="003B4024">
                              <w:pPr>
                                <w:rPr>
                                  <w:b/>
                                </w:rPr>
                              </w:pPr>
                              <w:r w:rsidRPr="003B4024">
                                <w:rPr>
                                  <w:b/>
                                </w:rPr>
                                <w:t>Probability</w:t>
                              </w:r>
                            </w:p>
                          </w:txbxContent>
                        </v:textbox>
                      </v:shape>
                    </v:group>
                  </w:pict>
                </mc:Fallback>
              </mc:AlternateContent>
            </w:r>
            <w:r>
              <w:rPr>
                <w:noProof/>
                <w:sz w:val="24"/>
              </w:rPr>
              <mc:AlternateContent>
                <mc:Choice Requires="wpg">
                  <w:drawing>
                    <wp:anchor distT="0" distB="0" distL="114300" distR="114300" simplePos="0" relativeHeight="251664384" behindDoc="0" locked="0" layoutInCell="1" allowOverlap="1" wp14:anchorId="2746BF70" wp14:editId="3B1CE9DA">
                      <wp:simplePos x="0" y="0"/>
                      <wp:positionH relativeFrom="column">
                        <wp:posOffset>1447800</wp:posOffset>
                      </wp:positionH>
                      <wp:positionV relativeFrom="paragraph">
                        <wp:posOffset>3817100</wp:posOffset>
                      </wp:positionV>
                      <wp:extent cx="2625436" cy="284018"/>
                      <wp:effectExtent l="0" t="0" r="3810" b="1905"/>
                      <wp:wrapNone/>
                      <wp:docPr id="11" name="Group 11"/>
                      <wp:cNvGraphicFramePr/>
                      <a:graphic xmlns:a="http://schemas.openxmlformats.org/drawingml/2006/main">
                        <a:graphicData uri="http://schemas.microsoft.com/office/word/2010/wordprocessingGroup">
                          <wpg:wgp>
                            <wpg:cNvGrpSpPr/>
                            <wpg:grpSpPr>
                              <a:xfrm>
                                <a:off x="0" y="0"/>
                                <a:ext cx="2625436" cy="284018"/>
                                <a:chOff x="0" y="0"/>
                                <a:chExt cx="2625436" cy="284018"/>
                              </a:xfrm>
                            </wpg:grpSpPr>
                            <wps:wsp>
                              <wps:cNvPr id="12" name="Rectangle 12"/>
                              <wps:cNvSpPr/>
                              <wps:spPr>
                                <a:xfrm>
                                  <a:off x="0" y="34637"/>
                                  <a:ext cx="2625436" cy="200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07818" y="0"/>
                                  <a:ext cx="2362200" cy="284018"/>
                                </a:xfrm>
                                <a:prstGeom prst="rect">
                                  <a:avLst/>
                                </a:prstGeom>
                                <a:solidFill>
                                  <a:schemeClr val="lt1"/>
                                </a:solidFill>
                                <a:ln w="6350">
                                  <a:noFill/>
                                </a:ln>
                              </wps:spPr>
                              <wps:txbx>
                                <w:txbxContent>
                                  <w:p w14:paraId="69A85098" w14:textId="77777777" w:rsidR="00AA7BE3" w:rsidRPr="003B4024" w:rsidRDefault="00AA7BE3" w:rsidP="003B4024">
                                    <w:pPr>
                                      <w:rPr>
                                        <w:b/>
                                      </w:rPr>
                                    </w:pPr>
                                    <w:r w:rsidRPr="003B4024">
                                      <w:rPr>
                                        <w:b/>
                                      </w:rPr>
                                      <w:t>Revenue (as a % of average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46BF70" id="Group 11" o:spid="_x0000_s1035" style="position:absolute;left:0;text-align:left;margin-left:114pt;margin-top:300.55pt;width:206.75pt;height:22.35pt;z-index:251664384" coordsize="2625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6/PwMAALEJAAAOAAAAZHJzL2Uyb0RvYy54bWzcVltP2zAUfp+0/2D5fSRNL5SIFHVsoEkI&#10;EDDx7DrORXJsz3abdL9+x86lUDomMW2a1ofUxz7Xz+d8yelZU3G0YdqUUiR4dBRixASVaSnyBH99&#10;uPgwx8hYIlLCpWAJ3jKDzxbv353WKmaRLCRPmUbgRJi4VgkurFVxEBhasIqYI6mYgMNM6opYEHUe&#10;pJrU4L3iQRSGs6CWOlVaUmYM7H5qD/HC+88yRu1NlhlmEU8w5Gb9U/vnyj2DxSmJc01UUdIuDfKG&#10;LCpSCgg6uPpELEFrXb5wVZVUSyMze0RlFcgsKynzNUA1o3Cvmkst18rXksd1rgaYANo9nN7sll5v&#10;bjUqU7i7EUaCVHBHPiwCGcCpVR6DzqVW9+pWdxt5K7l6m0xX7h8qQY2HdTvAyhqLKGxGs2g6Gc8w&#10;onAWzSfhaN7iTgu4nBdmtPj8umHQhw1cdkMytYIWMjuUzO+hdF8QxTz4xiHQoxT1KN1BbxGRc4ZG&#10;UYuU1xtgMrEBxH6K0XgyGx+3MBzGKQznJ/4KhnJJrLSxl0xWyC0SrCEF33Vkc2UsXA6o9iousJG8&#10;TC9Kzr3gRoqdc402BIZhlffOn2lx4XSFdFatQ7cDQPfl+JXdcub0uLhjGXSPu2SfiJ/bXRBCKRN2&#10;1B4VJGVt7GkIP1c75DtYeMk7dJ4ziD/47hw8L6D33brp9J0p82M/GIevJdYaDxY+shR2MK5KIfUh&#10;Bxyq6iK3+j1ILTQOpZVMt9A1WrakYxS9KOHaroixt0QDywAfAXPaG3hkXNYJlt0Ko0Lq74f2nT60&#10;NZxiVANrJdh8WxPNMOJfBDT8yWgycTTnhcn0OAJBPz1ZPT0R6+pcQi/A5EN2fun0Le+XmZbVIxDs&#10;0kWFIyIoxE4wtboXzm3LpkDRlC2XXg2oTRF7Je4Vdc4dqq4tH5pHolXXuxa6/lr2Q0bivRZudZ2l&#10;kMu1lVnp+3uHa4c3DLwjqb8x+eN+8h/cwH6UDRqN9wYf2Qb2Xc3QG35SDlNAFB7PgQTRAa4czyJ4&#10;r+1z5Z/hgF0T73EAgmacjaft6PyCDGyzavwLZADjP258+y+1vX/9wXeBZ87uG8Z9eDyV/ZjsvrQW&#10;PwAAAP//AwBQSwMEFAAGAAgAAAAhADhZLZXhAAAACwEAAA8AAABkcnMvZG93bnJldi54bWxMj8Fq&#10;wzAQRO+F/IPYQG+NLLc2xrUcQmh7CoUmhdKbYm1sE2tlLMV2/r7KqbnNMsPsm2I9m46NOLjWkgSx&#10;ioAhVVa3VEv4Prw/ZcCcV6RVZwklXNHBulw8FCrXdqIvHPe+ZqGEXK4kNN73OeeuatAot7I9UvBO&#10;djDKh3OouR7UFMpNx+MoSrlRLYUPjepx22B13l+MhI9JTZtn8Tbuzqft9feQfP7sBEr5uJw3r8A8&#10;zv4/DDf8gA5lYDraC2nHOglxnIUtXkIaCQEsJNIXkQA73kSSAS8Lfr+h/AMAAP//AwBQSwECLQAU&#10;AAYACAAAACEAtoM4kv4AAADhAQAAEwAAAAAAAAAAAAAAAAAAAAAAW0NvbnRlbnRfVHlwZXNdLnht&#10;bFBLAQItABQABgAIAAAAIQA4/SH/1gAAAJQBAAALAAAAAAAAAAAAAAAAAC8BAABfcmVscy8ucmVs&#10;c1BLAQItABQABgAIAAAAIQB4nh6/PwMAALEJAAAOAAAAAAAAAAAAAAAAAC4CAABkcnMvZTJvRG9j&#10;LnhtbFBLAQItABQABgAIAAAAIQA4WS2V4QAAAAsBAAAPAAAAAAAAAAAAAAAAAJkFAABkcnMvZG93&#10;bnJldi54bWxQSwUGAAAAAAQABADzAAAApwYAAAAA&#10;">
                      <v:rect id="Rectangle 12" o:spid="_x0000_s1036" style="position:absolute;top:346;width:26254;height: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shape id="Text Box 13" o:spid="_x0000_s1037" type="#_x0000_t202" style="position:absolute;left:2078;width:23622;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9A85098" w14:textId="77777777" w:rsidR="00AA7BE3" w:rsidRPr="003B4024" w:rsidRDefault="00AA7BE3" w:rsidP="003B4024">
                              <w:pPr>
                                <w:rPr>
                                  <w:b/>
                                </w:rPr>
                              </w:pPr>
                              <w:r w:rsidRPr="003B4024">
                                <w:rPr>
                                  <w:b/>
                                </w:rPr>
                                <w:t xml:space="preserve">Revenue (as a </w:t>
                              </w:r>
                              <w:proofErr w:type="gramStart"/>
                              <w:r w:rsidRPr="003B4024">
                                <w:rPr>
                                  <w:b/>
                                </w:rPr>
                                <w:t>%</w:t>
                              </w:r>
                              <w:proofErr w:type="gramEnd"/>
                              <w:r w:rsidRPr="003B4024">
                                <w:rPr>
                                  <w:b/>
                                </w:rPr>
                                <w:t xml:space="preserve"> of average revenue)</w:t>
                              </w:r>
                            </w:p>
                          </w:txbxContent>
                        </v:textbox>
                      </v:shape>
                    </v:group>
                  </w:pict>
                </mc:Fallback>
              </mc:AlternateContent>
            </w:r>
            <w:r w:rsidR="008B2DB9" w:rsidRPr="008B2DB9">
              <w:rPr>
                <w:noProof/>
                <w:sz w:val="24"/>
              </w:rPr>
              <w:drawing>
                <wp:inline distT="0" distB="0" distL="0" distR="0" wp14:anchorId="24FD2369" wp14:editId="3E95A89A">
                  <wp:extent cx="5324475" cy="399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2190B05C" w14:textId="777C41DB" w:rsidR="003B4024" w:rsidRPr="00C744A2" w:rsidRDefault="003B4024" w:rsidP="00A22DC0">
            <w:pPr>
              <w:jc w:val="both"/>
              <w:rPr>
                <w:sz w:val="24"/>
              </w:rPr>
            </w:pPr>
          </w:p>
        </w:tc>
      </w:tr>
      <w:tr w:rsidR="00CB3056" w14:paraId="46F04296" w14:textId="77777777" w:rsidTr="006D5CB1">
        <w:tc>
          <w:tcPr>
            <w:tcW w:w="9350" w:type="dxa"/>
            <w:tcBorders>
              <w:top w:val="single" w:sz="4" w:space="0" w:color="auto"/>
              <w:bottom w:val="single" w:sz="4" w:space="0" w:color="auto"/>
            </w:tcBorders>
          </w:tcPr>
          <w:p w14:paraId="63FEF455" w14:textId="4B5FA40E" w:rsidR="00CB3056" w:rsidRPr="00C744A2" w:rsidRDefault="006D5CB1" w:rsidP="006D5CB1">
            <w:pPr>
              <w:jc w:val="both"/>
              <w:rPr>
                <w:sz w:val="24"/>
              </w:rPr>
            </w:pPr>
            <w:r>
              <w:rPr>
                <w:sz w:val="24"/>
              </w:rPr>
              <w:t>Here we present the CDFs for revenue with stochastic prices without insurance,</w:t>
            </w:r>
            <w:r w:rsidR="00763CA3">
              <w:rPr>
                <w:sz w:val="24"/>
              </w:rPr>
              <w:t xml:space="preserve"> with perfect insurance,</w:t>
            </w:r>
            <w:r>
              <w:rPr>
                <w:sz w:val="24"/>
              </w:rPr>
              <w:t xml:space="preserve"> with yield insurance, and with revenue insurance. </w:t>
            </w:r>
          </w:p>
        </w:tc>
      </w:tr>
    </w:tbl>
    <w:p w14:paraId="54B7DEA9" w14:textId="2474B858" w:rsidR="00EE181A" w:rsidRDefault="00EE181A" w:rsidP="0090513F">
      <w:pPr>
        <w:spacing w:after="0" w:line="240" w:lineRule="auto"/>
        <w:jc w:val="both"/>
        <w:rPr>
          <w:i/>
          <w:sz w:val="24"/>
        </w:rPr>
      </w:pPr>
    </w:p>
    <w:p w14:paraId="0AAB7687" w14:textId="56B60CDD" w:rsidR="00EE181A" w:rsidRDefault="00EE181A" w:rsidP="0090513F">
      <w:pPr>
        <w:spacing w:after="0" w:line="240" w:lineRule="auto"/>
        <w:jc w:val="both"/>
        <w:rPr>
          <w:i/>
          <w:sz w:val="24"/>
        </w:rPr>
      </w:pPr>
    </w:p>
    <w:p w14:paraId="288A54A7" w14:textId="0414D841" w:rsidR="00A22DC0" w:rsidRDefault="00DA7384" w:rsidP="0090513F">
      <w:pPr>
        <w:spacing w:after="0" w:line="240" w:lineRule="auto"/>
        <w:jc w:val="both"/>
        <w:rPr>
          <w:rFonts w:eastAsiaTheme="minorEastAsia"/>
          <w:sz w:val="24"/>
        </w:rPr>
      </w:pPr>
      <w:r>
        <w:rPr>
          <w:sz w:val="24"/>
        </w:rPr>
        <w:t>Having demonstrated the potential benefits of directly insuring revenue, rather than yields, we now may be concerned w</w:t>
      </w:r>
      <w:r w:rsidR="00BA136E">
        <w:rPr>
          <w:sz w:val="24"/>
        </w:rPr>
        <w:t>ith the demand and value of</w:t>
      </w:r>
      <w:r>
        <w:rPr>
          <w:sz w:val="24"/>
        </w:rPr>
        <w:t xml:space="preserve"> revenue index insurance policies</w:t>
      </w:r>
      <w:r w:rsidR="00BA136E">
        <w:rPr>
          <w:sz w:val="24"/>
        </w:rPr>
        <w:t xml:space="preserve"> relative to yield insurance </w:t>
      </w:r>
      <w:r w:rsidR="00763CA3">
        <w:rPr>
          <w:sz w:val="24"/>
        </w:rPr>
        <w:t>policies</w:t>
      </w:r>
      <w:r>
        <w:rPr>
          <w:sz w:val="24"/>
        </w:rPr>
        <w:t xml:space="preserve">. Numerous studies have documented relatively low demand for index insurance policies (Miranda and Farrin 2012; </w:t>
      </w:r>
      <w:r w:rsidRPr="00540443">
        <w:rPr>
          <w:rFonts w:cstheme="minorHAnsi"/>
          <w:noProof/>
          <w:sz w:val="24"/>
          <w:szCs w:val="24"/>
        </w:rPr>
        <w:t>Giné</w:t>
      </w:r>
      <w:r>
        <w:rPr>
          <w:sz w:val="24"/>
        </w:rPr>
        <w:t xml:space="preserve"> a</w:t>
      </w:r>
      <w:r w:rsidR="000F369E">
        <w:rPr>
          <w:sz w:val="24"/>
        </w:rPr>
        <w:t>nd Yang 2009; Col</w:t>
      </w:r>
      <w:r w:rsidR="00BA136E">
        <w:rPr>
          <w:sz w:val="24"/>
        </w:rPr>
        <w:t>e et al. 2013) which is a</w:t>
      </w:r>
      <w:r w:rsidR="000F369E">
        <w:rPr>
          <w:sz w:val="24"/>
        </w:rPr>
        <w:t xml:space="preserve"> rational </w:t>
      </w:r>
      <w:r w:rsidR="00BA136E">
        <w:rPr>
          <w:sz w:val="24"/>
        </w:rPr>
        <w:t xml:space="preserve">response </w:t>
      </w:r>
      <w:r w:rsidR="000F369E">
        <w:rPr>
          <w:sz w:val="24"/>
        </w:rPr>
        <w:t xml:space="preserve">for risk averse agents when faced with significant basis risk (Clarke 2016). Therefore, designing index insurance policies </w:t>
      </w:r>
      <w:r w:rsidR="008B2DB9">
        <w:rPr>
          <w:sz w:val="24"/>
        </w:rPr>
        <w:t>that have</w:t>
      </w:r>
      <w:r w:rsidR="00A22DC0">
        <w:rPr>
          <w:sz w:val="24"/>
        </w:rPr>
        <w:t xml:space="preserve"> sufficiently low basis risk to provide farmers with meaningful insurance is essential. To consider demand, we calculated the willingness to pay (WTP) for the revenue insurance </w:t>
      </w:r>
      <w:r w:rsidR="00763CA3">
        <w:rPr>
          <w:sz w:val="24"/>
        </w:rPr>
        <w:t>policy</w:t>
      </w:r>
      <w:r w:rsidR="00A22DC0">
        <w:rPr>
          <w:sz w:val="24"/>
        </w:rPr>
        <w:t xml:space="preserve"> and the yield insurance p</w:t>
      </w:r>
      <w:r w:rsidR="00763CA3">
        <w:rPr>
          <w:sz w:val="24"/>
        </w:rPr>
        <w:t>olicy</w:t>
      </w:r>
      <w:r w:rsidR="00A22DC0">
        <w:rPr>
          <w:sz w:val="24"/>
        </w:rPr>
        <w:t xml:space="preserve"> by solving </w:t>
      </w:r>
      <m:oMath>
        <m:r>
          <w:rPr>
            <w:rFonts w:ascii="Cambria Math" w:hAnsi="Cambria Math"/>
            <w:sz w:val="24"/>
          </w:rPr>
          <m:t>U</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π</m:t>
                </m:r>
              </m:e>
              <m:sub>
                <m:r>
                  <w:rPr>
                    <w:rFonts w:ascii="Cambria Math" w:hAnsi="Cambria Math"/>
                    <w:sz w:val="24"/>
                  </w:rPr>
                  <m:t>j</m:t>
                </m:r>
              </m:sub>
            </m:sSub>
          </m:e>
        </m:d>
        <m:r>
          <w:rPr>
            <w:rFonts w:ascii="Cambria Math" w:eastAsiaTheme="minorEastAsia" w:hAnsi="Cambria Math"/>
            <w:sz w:val="24"/>
          </w:rPr>
          <m:t>=</m:t>
        </m:r>
        <m:r>
          <w:rPr>
            <w:rFonts w:ascii="Cambria Math" w:hAnsi="Cambria Math"/>
            <w:sz w:val="24"/>
          </w:rPr>
          <m:t>U</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U</m:t>
                </m:r>
              </m:sub>
            </m:sSub>
          </m:e>
        </m:d>
      </m:oMath>
      <w:r w:rsidR="00A22DC0">
        <w:rPr>
          <w:rFonts w:eastAsiaTheme="minorEastAsia"/>
          <w:sz w:val="24"/>
        </w:rPr>
        <w:t xml:space="preserve"> for </w:t>
      </w:r>
      <m:oMath>
        <m:sSub>
          <m:sSubPr>
            <m:ctrlPr>
              <w:rPr>
                <w:rFonts w:ascii="Cambria Math" w:hAnsi="Cambria Math"/>
                <w:i/>
                <w:sz w:val="24"/>
              </w:rPr>
            </m:ctrlPr>
          </m:sSubPr>
          <m:e>
            <m:r>
              <w:rPr>
                <w:rFonts w:ascii="Cambria Math" w:hAnsi="Cambria Math"/>
                <w:sz w:val="24"/>
              </w:rPr>
              <m:t>π</m:t>
            </m:r>
          </m:e>
          <m:sub>
            <m:r>
              <w:rPr>
                <w:rFonts w:ascii="Cambria Math" w:hAnsi="Cambria Math"/>
                <w:sz w:val="24"/>
              </w:rPr>
              <m:t>j</m:t>
            </m:r>
          </m:sub>
        </m:sSub>
      </m:oMath>
      <w:r w:rsidR="00A22DC0">
        <w:rPr>
          <w:rFonts w:eastAsiaTheme="minorEastAsia"/>
          <w:sz w:val="24"/>
        </w:rPr>
        <w:t xml:space="preserve"> where </w:t>
      </w:r>
      <m:oMath>
        <m:r>
          <w:rPr>
            <w:rFonts w:ascii="Cambria Math" w:eastAsiaTheme="minorEastAsia" w:hAnsi="Cambria Math"/>
            <w:sz w:val="24"/>
          </w:rPr>
          <m:t>j∈{r,y}</m:t>
        </m:r>
      </m:oMath>
      <w:r w:rsidR="00A22DC0">
        <w:rPr>
          <w:rFonts w:eastAsiaTheme="minorEastAsia"/>
          <w:sz w:val="24"/>
        </w:rPr>
        <w:t xml:space="preserve"> and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I</m:t>
            </m:r>
          </m:sub>
        </m:sSub>
      </m:oMath>
      <w:r w:rsidR="00A22DC0">
        <w:rPr>
          <w:rFonts w:eastAsiaTheme="minorEastAsia"/>
          <w:sz w:val="24"/>
        </w:rPr>
        <w:t xml:space="preserve">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U</m:t>
            </m:r>
          </m:sub>
        </m:sSub>
      </m:oMath>
      <w:r w:rsidR="00A22DC0">
        <w:rPr>
          <w:rFonts w:eastAsiaTheme="minorEastAsia"/>
          <w:sz w:val="24"/>
        </w:rPr>
        <w:t xml:space="preserve">) represents revenue with (out) insurance. </w:t>
      </w:r>
    </w:p>
    <w:p w14:paraId="4662F070" w14:textId="77777777" w:rsidR="00C14F34" w:rsidRDefault="00C14F34" w:rsidP="0090513F">
      <w:pPr>
        <w:spacing w:after="0" w:line="240" w:lineRule="auto"/>
        <w:jc w:val="both"/>
        <w:rPr>
          <w:rFonts w:eastAsiaTheme="minorEastAsia"/>
          <w:sz w:val="24"/>
        </w:rPr>
      </w:pPr>
    </w:p>
    <w:p w14:paraId="33B78F92" w14:textId="06C150A5" w:rsidR="00DA7384" w:rsidRDefault="00A22DC0" w:rsidP="0090513F">
      <w:pPr>
        <w:spacing w:after="0" w:line="240" w:lineRule="auto"/>
        <w:jc w:val="both"/>
        <w:rPr>
          <w:sz w:val="24"/>
        </w:rPr>
      </w:pPr>
      <w:r>
        <w:rPr>
          <w:rFonts w:eastAsiaTheme="minorEastAsia"/>
          <w:sz w:val="24"/>
        </w:rPr>
        <w:t xml:space="preserve">In Figure </w:t>
      </w:r>
      <w:r w:rsidR="00C64C87">
        <w:rPr>
          <w:rFonts w:eastAsiaTheme="minorEastAsia"/>
          <w:sz w:val="24"/>
        </w:rPr>
        <w:t>4,</w:t>
      </w:r>
      <w:r>
        <w:rPr>
          <w:rFonts w:eastAsiaTheme="minorEastAsia"/>
          <w:sz w:val="24"/>
        </w:rPr>
        <w:t xml:space="preserve"> we plot WTP for revenue insurance and yield insurance as well as the fair premium for </w:t>
      </w:r>
      <w:r w:rsidR="00763CA3">
        <w:rPr>
          <w:rFonts w:eastAsiaTheme="minorEastAsia"/>
          <w:sz w:val="24"/>
        </w:rPr>
        <w:t>both</w:t>
      </w:r>
      <w:r>
        <w:rPr>
          <w:rFonts w:eastAsiaTheme="minorEastAsia"/>
          <w:sz w:val="24"/>
        </w:rPr>
        <w:t xml:space="preserve"> versus the standard deviation of the idiosyncratic </w:t>
      </w:r>
      <w:r w:rsidR="00C64C87">
        <w:rPr>
          <w:rFonts w:eastAsiaTheme="minorEastAsia"/>
          <w:sz w:val="24"/>
        </w:rPr>
        <w:t>shock, which</w:t>
      </w:r>
      <w:r w:rsidR="008B2DB9">
        <w:rPr>
          <w:rFonts w:eastAsiaTheme="minorEastAsia"/>
          <w:sz w:val="24"/>
        </w:rPr>
        <w:t xml:space="preserve"> we use to indicate the extent of the basis risk</w:t>
      </w:r>
      <w:r>
        <w:rPr>
          <w:rFonts w:eastAsiaTheme="minorEastAsia"/>
          <w:sz w:val="24"/>
        </w:rPr>
        <w:t>. We find that for both contracts, WTP decreases as the variation in the idiosyncratic shock</w:t>
      </w:r>
      <w:r w:rsidR="008B2DB9">
        <w:rPr>
          <w:rFonts w:eastAsiaTheme="minorEastAsia"/>
          <w:sz w:val="24"/>
        </w:rPr>
        <w:t xml:space="preserve"> increases</w:t>
      </w:r>
      <w:r>
        <w:rPr>
          <w:rFonts w:eastAsiaTheme="minorEastAsia"/>
          <w:sz w:val="24"/>
        </w:rPr>
        <w:t xml:space="preserve">. However, we find that for the yield based contract, WTP drops </w:t>
      </w:r>
      <w:r>
        <w:rPr>
          <w:rFonts w:eastAsiaTheme="minorEastAsia"/>
          <w:sz w:val="24"/>
        </w:rPr>
        <w:lastRenderedPageBreak/>
        <w:t xml:space="preserve">below the fair premium at a sufficiently high level of basis risk whereas the WTP remains consistently above the fair premium of revenue insurance. </w:t>
      </w:r>
      <w:r w:rsidR="00C14F34">
        <w:rPr>
          <w:rFonts w:eastAsiaTheme="minorEastAsia"/>
          <w:sz w:val="24"/>
        </w:rPr>
        <w:t xml:space="preserve">These simulations suggest that demand for revenue insurance will likely be higher than demand for yield insurance despite a higher cost. </w:t>
      </w:r>
    </w:p>
    <w:p w14:paraId="1443836B" w14:textId="00CABF16" w:rsidR="00DA7384" w:rsidRDefault="00F50B87" w:rsidP="0090513F">
      <w:pPr>
        <w:spacing w:after="0" w:line="240" w:lineRule="auto"/>
        <w:jc w:val="both"/>
        <w:rPr>
          <w:sz w:val="24"/>
        </w:rPr>
      </w:pPr>
      <w:r>
        <w:rPr>
          <w:noProof/>
          <w:sz w:val="24"/>
        </w:rPr>
        <mc:AlternateContent>
          <mc:Choice Requires="wpg">
            <w:drawing>
              <wp:anchor distT="0" distB="0" distL="114300" distR="114300" simplePos="0" relativeHeight="251670528" behindDoc="0" locked="0" layoutInCell="1" allowOverlap="1" wp14:anchorId="7EE9D4D7" wp14:editId="37581FF0">
                <wp:simplePos x="0" y="0"/>
                <wp:positionH relativeFrom="column">
                  <wp:posOffset>-126492</wp:posOffset>
                </wp:positionH>
                <wp:positionV relativeFrom="paragraph">
                  <wp:posOffset>984132</wp:posOffset>
                </wp:positionV>
                <wp:extent cx="532560" cy="2022623"/>
                <wp:effectExtent l="0" t="0" r="20320" b="15875"/>
                <wp:wrapNone/>
                <wp:docPr id="17" name="Group 17"/>
                <wp:cNvGraphicFramePr/>
                <a:graphic xmlns:a="http://schemas.openxmlformats.org/drawingml/2006/main">
                  <a:graphicData uri="http://schemas.microsoft.com/office/word/2010/wordprocessingGroup">
                    <wpg:wgp>
                      <wpg:cNvGrpSpPr/>
                      <wpg:grpSpPr>
                        <a:xfrm>
                          <a:off x="0" y="0"/>
                          <a:ext cx="532560" cy="2022623"/>
                          <a:chOff x="-127805" y="-485452"/>
                          <a:chExt cx="533296" cy="2023307"/>
                        </a:xfrm>
                      </wpg:grpSpPr>
                      <wps:wsp>
                        <wps:cNvPr id="18" name="Rectangle 18"/>
                        <wps:cNvSpPr/>
                        <wps:spPr>
                          <a:xfrm>
                            <a:off x="149182" y="0"/>
                            <a:ext cx="256309" cy="15378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rot="16200000">
                            <a:off x="-845897" y="232640"/>
                            <a:ext cx="1951311" cy="515128"/>
                          </a:xfrm>
                          <a:prstGeom prst="rect">
                            <a:avLst/>
                          </a:prstGeom>
                          <a:solidFill>
                            <a:schemeClr val="lt1"/>
                          </a:solidFill>
                          <a:ln w="6350">
                            <a:noFill/>
                          </a:ln>
                        </wps:spPr>
                        <wps:txbx>
                          <w:txbxContent>
                            <w:p w14:paraId="3DCD5C62" w14:textId="195F5413" w:rsidR="00AA7BE3" w:rsidRPr="003B4024" w:rsidRDefault="00AA7BE3" w:rsidP="003B4024">
                              <w:pPr>
                                <w:rPr>
                                  <w:b/>
                                </w:rPr>
                              </w:pPr>
                              <w:r>
                                <w:rPr>
                                  <w:b/>
                                </w:rPr>
                                <w:t>WTP / Fair Premium</w:t>
                              </w:r>
                              <w:r w:rsidR="00F50B87">
                                <w:rPr>
                                  <w:b/>
                                </w:rPr>
                                <w:t xml:space="preserve"> (as a perfect of average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E9D4D7" id="Group 17" o:spid="_x0000_s1038" style="position:absolute;left:0;text-align:left;margin-left:-9.95pt;margin-top:77.5pt;width:41.95pt;height:159.25pt;z-index:251670528;mso-width-relative:margin;mso-height-relative:margin" coordorigin="-1278,-4854" coordsize="5332,2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JOjQMAAPsJAAAOAAAAZHJzL2Uyb0RvYy54bWzcVk1v3DYQvRfIfyB4tyVKq/WuYDlwndoo&#10;YCRG7CBnLkVpBVAkS3Itub8+Q1LSuq6Rg4sGQfag5cfM48zjzJPO34+9QI/c2E7JCpPTFCMumao7&#10;2Vb4y8P1yQYj66isqVCSV/iJW/z+4t1v54Mueab2StTcIACRthx0hffO6TJJLNvzntpTpbmEzUaZ&#10;njqYmjapDR0AvRdJlqbrZFCm1kYxbi2sfoib+CLgNw1n7lPTWO6QqDDE5sLThOfOP5OLc1q2hup9&#10;x6Yw6Bui6Gkn4dAF6gN1FB1M9y+ovmNGWdW4U6b6RDVNx3jIAbIh6Ytsbow66JBLWw6tXmgCal/w&#10;9GZY9vHxzqCuhrs7w0jSHu4oHItgDuQMui3B5sboe31npoU2zny+Y2N6/w+ZoDHQ+rTQykeHGCwW&#10;eVasgXwGW1maZessj7yzPVyOdzsh2dkmLTACi5PVplgV2WzxxwKSZ9v1ApLnaYgvmUNIfKRLYIOG&#10;crJHxux/Y+x+TzUPF2E9GzNjUNuRsc9QZ1S2giOyiawFu4UyW1pg7xW+yGpLNlnIe6rFmTSgLE+3&#10;MV9S5GebovDIS7601Ma6G6565AcVNhBDKEH6eGtdNJ1N/MlWia6+7oQIE99f/EoY9EihM3YtmcD/&#10;YSXkmxwhRu8JNzLnHUbuSXCPJ+Rn3kDJwb1nIeDQ7MdgKGNcOhK39rTmMcYihd8c5Rx+ICQAeuQG&#10;sluwJ4DZMoLM2JGeyd678qAVi3P6vcCi8+IRTlbSLc59J5V5DUBAVtPJ0X4mKVLjWdqp+gnKy6io&#10;VFaz6w6u95Zad0cNSBP0Ecit+wSPRqihwmoaYbRX5u/X1r091D/sYjSA1FXY/nWghmMk/pTQGVuy&#10;WnltDJNVcZbBxDzf2T3fkYf+SkHNEBB2zcLQ2zsxDxuj+q+gypf+VNiiksHZFWbOzJMrFyUYdJ3x&#10;y8tgBnqoqbuV95p5cM+qL9+H8Ss1eqpxB93xUc3dSMsXpR5tvadUlwenmi70wZHXiW9QBq9sP0Ii&#10;oIOjRDz4xv5djYhsfQ3400FJvEIgN8K6z3laf64VsRLIGt51vvx9bpPUnmxWxWYLou1VNc/WcIXg&#10;D5U8CSbZFiQncEtedgtSkCxI0/8jIMfKfiEgCCp0nRcxcqm8/sQOeEUh3Lgbw6toNTPxC3eD+5l6&#10;Ibw84QsjyOn0NeQ/YZ7PQ+8cv9kuvgEAAP//AwBQSwMEFAAGAAgAAAAhAOKPWjnhAAAACgEAAA8A&#10;AABkcnMvZG93bnJldi54bWxMj0FrwkAQhe+F/odlCr3pJtVYTbMRkbYnKVQLxduaHZNgdjZk1yT+&#10;+05P7Wl4vI8372Xr0Taix87XjhTE0wgEUuFMTaWCr8PbZAnCB01GN45QwQ09rPP7u0ynxg30if0+&#10;lIJDyKdaQRVCm0rpiwqt9lPXIrF3dp3VgWVXStPpgcNtI5+iaCGtrok/VLrFbYXFZX+1Ct4HPWxm&#10;8Wu/u5y3t+Mh+fjexajU48O4eQERcAx/MPzW5+qQc6eTu5LxolEwiVcrRtlIEh7FxGLO96Rg/jxL&#10;QOaZ/D8h/wEAAP//AwBQSwECLQAUAAYACAAAACEAtoM4kv4AAADhAQAAEwAAAAAAAAAAAAAAAAAA&#10;AAAAW0NvbnRlbnRfVHlwZXNdLnhtbFBLAQItABQABgAIAAAAIQA4/SH/1gAAAJQBAAALAAAAAAAA&#10;AAAAAAAAAC8BAABfcmVscy8ucmVsc1BLAQItABQABgAIAAAAIQCZceJOjQMAAPsJAAAOAAAAAAAA&#10;AAAAAAAAAC4CAABkcnMvZTJvRG9jLnhtbFBLAQItABQABgAIAAAAIQDij1o54QAAAAoBAAAPAAAA&#10;AAAAAAAAAAAAAOcFAABkcnMvZG93bnJldi54bWxQSwUGAAAAAAQABADzAAAA9QYAAAAA&#10;">
                <v:rect id="Rectangle 18" o:spid="_x0000_s1039" style="position:absolute;left:1491;width:2563;height:15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jN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wMovMoBeXQAAAP//AwBQSwECLQAUAAYACAAAACEA2+H2y+4AAACFAQAAEwAAAAAAAAAA&#10;AAAAAAAAAAAAW0NvbnRlbnRfVHlwZXNdLnhtbFBLAQItABQABgAIAAAAIQBa9CxbvwAAABUBAAAL&#10;AAAAAAAAAAAAAAAAAB8BAABfcmVscy8ucmVsc1BLAQItABQABgAIAAAAIQANYZjNxQAAANsAAAAP&#10;AAAAAAAAAAAAAAAAAAcCAABkcnMvZG93bnJldi54bWxQSwUGAAAAAAMAAwC3AAAA+QIAAAAA&#10;" fillcolor="white [3212]" strokecolor="white [3212]" strokeweight="1pt"/>
                <v:shape id="Text Box 19" o:spid="_x0000_s1040" type="#_x0000_t202" style="position:absolute;left:-8458;top:2326;width:19512;height:51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NxvwAAANsAAAAPAAAAZHJzL2Rvd25yZXYueG1sRE9La8JA&#10;EL4L/Q/LFHrTTT0UTV1F+oBeazx4HLLTbDA7GzIbN/XXdwuCt/n4nrPZTb5TFxqkDWzgeVGAIq6D&#10;bbkxcKw+5ytQEpEtdoHJwC8J7LYPsw2WNiT+psshNiqHsJRowMXYl1pL7cijLEJPnLmfMHiMGQ6N&#10;tgOmHO47vSyKF+2x5dzgsKc3R/X5MHoD8pGWxSTpuhorJ7ryzfX0nox5epz2r6AiTfEuvrm/bJ6/&#10;hv9f8gF6+wcAAP//AwBQSwECLQAUAAYACAAAACEA2+H2y+4AAACFAQAAEwAAAAAAAAAAAAAAAAAA&#10;AAAAW0NvbnRlbnRfVHlwZXNdLnhtbFBLAQItABQABgAIAAAAIQBa9CxbvwAAABUBAAALAAAAAAAA&#10;AAAAAAAAAB8BAABfcmVscy8ucmVsc1BLAQItABQABgAIAAAAIQCKDENxvwAAANsAAAAPAAAAAAAA&#10;AAAAAAAAAAcCAABkcnMvZG93bnJldi54bWxQSwUGAAAAAAMAAwC3AAAA8wIAAAAA&#10;" fillcolor="white [3201]" stroked="f" strokeweight=".5pt">
                  <v:textbox>
                    <w:txbxContent>
                      <w:p w14:paraId="3DCD5C62" w14:textId="195F5413" w:rsidR="00AA7BE3" w:rsidRPr="003B4024" w:rsidRDefault="00AA7BE3" w:rsidP="003B4024">
                        <w:pPr>
                          <w:rPr>
                            <w:b/>
                          </w:rPr>
                        </w:pPr>
                        <w:r>
                          <w:rPr>
                            <w:b/>
                          </w:rPr>
                          <w:t>WTP / Fair Premium</w:t>
                        </w:r>
                        <w:r w:rsidR="00F50B87">
                          <w:rPr>
                            <w:b/>
                          </w:rPr>
                          <w:t xml:space="preserve"> (as a perfect of average revenue)</w:t>
                        </w:r>
                      </w:p>
                    </w:txbxContent>
                  </v:textbox>
                </v:shap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B3056" w:rsidRPr="00C744A2" w14:paraId="652C71D9" w14:textId="77777777" w:rsidTr="00A22DC0">
        <w:tc>
          <w:tcPr>
            <w:tcW w:w="9350" w:type="dxa"/>
            <w:tcBorders>
              <w:bottom w:val="single" w:sz="4" w:space="0" w:color="auto"/>
            </w:tcBorders>
          </w:tcPr>
          <w:p w14:paraId="7A31D7B0" w14:textId="55C1131F" w:rsidR="00CB3056" w:rsidRPr="00C744A2" w:rsidRDefault="00CB3056" w:rsidP="00C14F34">
            <w:pPr>
              <w:jc w:val="both"/>
              <w:rPr>
                <w:sz w:val="24"/>
              </w:rPr>
            </w:pPr>
            <w:r>
              <w:rPr>
                <w:sz w:val="24"/>
              </w:rPr>
              <w:t xml:space="preserve">Figure 4: </w:t>
            </w:r>
            <w:r w:rsidR="00C14F34">
              <w:rPr>
                <w:sz w:val="24"/>
              </w:rPr>
              <w:t>WTP for</w:t>
            </w:r>
            <w:r>
              <w:rPr>
                <w:sz w:val="24"/>
              </w:rPr>
              <w:t xml:space="preserve"> Revenue vs </w:t>
            </w:r>
            <w:r w:rsidR="00646DA2">
              <w:rPr>
                <w:sz w:val="24"/>
              </w:rPr>
              <w:t>Yield</w:t>
            </w:r>
            <w:r>
              <w:rPr>
                <w:sz w:val="24"/>
              </w:rPr>
              <w:t xml:space="preserve"> Insurance</w:t>
            </w:r>
          </w:p>
        </w:tc>
      </w:tr>
      <w:tr w:rsidR="00CB3056" w:rsidRPr="00C744A2" w14:paraId="466E6591" w14:textId="77777777" w:rsidTr="00C14F34">
        <w:tc>
          <w:tcPr>
            <w:tcW w:w="9350" w:type="dxa"/>
            <w:tcBorders>
              <w:top w:val="single" w:sz="4" w:space="0" w:color="auto"/>
              <w:bottom w:val="single" w:sz="4" w:space="0" w:color="auto"/>
            </w:tcBorders>
          </w:tcPr>
          <w:p w14:paraId="79776B5A" w14:textId="12C3E8E8" w:rsidR="00CB3056" w:rsidRDefault="003B4024" w:rsidP="00A22DC0">
            <w:pPr>
              <w:jc w:val="both"/>
              <w:rPr>
                <w:sz w:val="24"/>
              </w:rPr>
            </w:pPr>
            <w:r>
              <w:rPr>
                <w:noProof/>
                <w:sz w:val="24"/>
              </w:rPr>
              <mc:AlternateContent>
                <mc:Choice Requires="wpg">
                  <w:drawing>
                    <wp:anchor distT="0" distB="0" distL="114300" distR="114300" simplePos="0" relativeHeight="251672576" behindDoc="0" locked="0" layoutInCell="1" allowOverlap="1" wp14:anchorId="19CDB56D" wp14:editId="7D11684F">
                      <wp:simplePos x="0" y="0"/>
                      <wp:positionH relativeFrom="column">
                        <wp:posOffset>1863551</wp:posOffset>
                      </wp:positionH>
                      <wp:positionV relativeFrom="paragraph">
                        <wp:posOffset>3813464</wp:posOffset>
                      </wp:positionV>
                      <wp:extent cx="2625436" cy="284018"/>
                      <wp:effectExtent l="0" t="0" r="3810" b="1905"/>
                      <wp:wrapNone/>
                      <wp:docPr id="20" name="Group 20"/>
                      <wp:cNvGraphicFramePr/>
                      <a:graphic xmlns:a="http://schemas.openxmlformats.org/drawingml/2006/main">
                        <a:graphicData uri="http://schemas.microsoft.com/office/word/2010/wordprocessingGroup">
                          <wpg:wgp>
                            <wpg:cNvGrpSpPr/>
                            <wpg:grpSpPr>
                              <a:xfrm>
                                <a:off x="0" y="0"/>
                                <a:ext cx="2625436" cy="284018"/>
                                <a:chOff x="0" y="0"/>
                                <a:chExt cx="2625436" cy="284018"/>
                              </a:xfrm>
                            </wpg:grpSpPr>
                            <wps:wsp>
                              <wps:cNvPr id="21" name="Rectangle 21"/>
                              <wps:cNvSpPr/>
                              <wps:spPr>
                                <a:xfrm>
                                  <a:off x="0" y="34637"/>
                                  <a:ext cx="2625436" cy="200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207818" y="0"/>
                                  <a:ext cx="2362200" cy="284018"/>
                                </a:xfrm>
                                <a:prstGeom prst="rect">
                                  <a:avLst/>
                                </a:prstGeom>
                                <a:solidFill>
                                  <a:schemeClr val="lt1"/>
                                </a:solidFill>
                                <a:ln w="6350">
                                  <a:noFill/>
                                </a:ln>
                              </wps:spPr>
                              <wps:txbx>
                                <w:txbxContent>
                                  <w:p w14:paraId="4F33E527" w14:textId="3AB87EE3" w:rsidR="00AA7BE3" w:rsidRPr="003B4024" w:rsidRDefault="00AA7BE3" w:rsidP="003B4024">
                                    <w:pPr>
                                      <w:rPr>
                                        <w:b/>
                                      </w:rPr>
                                    </w:pPr>
                                    <w:r>
                                      <w:rPr>
                                        <w:b/>
                                      </w:rPr>
                                      <w:t>Basis Risk</w:t>
                                    </w:r>
                                    <w:r w:rsidRPr="003B4024">
                                      <w:rPr>
                                        <w:b/>
                                      </w:rPr>
                                      <w:t xml:space="preserve"> (</w:t>
                                    </w:r>
                                    <m:oMath>
                                      <m:sSub>
                                        <m:sSubPr>
                                          <m:ctrlPr>
                                            <w:rPr>
                                              <w:rFonts w:ascii="Cambria Math" w:hAnsi="Cambria Math"/>
                                              <w:b/>
                                              <w:i/>
                                            </w:rPr>
                                          </m:ctrlPr>
                                        </m:sSubPr>
                                        <m:e>
                                          <m:r>
                                            <m:rPr>
                                              <m:sty m:val="bi"/>
                                            </m:rPr>
                                            <w:rPr>
                                              <w:rFonts w:ascii="Cambria Math" w:hAnsi="Cambria Math"/>
                                            </w:rPr>
                                            <m:t>σ</m:t>
                                          </m:r>
                                        </m:e>
                                        <m:sub>
                                          <m:sSub>
                                            <m:sSubPr>
                                              <m:ctrlPr>
                                                <w:rPr>
                                                  <w:rFonts w:ascii="Cambria Math" w:hAnsi="Cambria Math"/>
                                                  <w:b/>
                                                  <w:i/>
                                                </w:rPr>
                                              </m:ctrlPr>
                                            </m:sSubPr>
                                            <m:e>
                                              <m:r>
                                                <m:rPr>
                                                  <m:sty m:val="bi"/>
                                                </m:rPr>
                                                <w:rPr>
                                                  <w:rFonts w:ascii="Cambria Math" w:hAnsi="Cambria Math"/>
                                                </w:rPr>
                                                <m:t>θ</m:t>
                                              </m:r>
                                            </m:e>
                                            <m:sub>
                                              <m:r>
                                                <m:rPr>
                                                  <m:sty m:val="bi"/>
                                                </m:rPr>
                                                <w:rPr>
                                                  <w:rFonts w:ascii="Cambria Math" w:hAnsi="Cambria Math"/>
                                                </w:rPr>
                                                <m:t>i</m:t>
                                              </m:r>
                                            </m:sub>
                                          </m:sSub>
                                        </m:sub>
                                      </m:sSub>
                                    </m:oMath>
                                    <w:r w:rsidRPr="003B402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CDB56D" id="Group 20" o:spid="_x0000_s1041" style="position:absolute;left:0;text-align:left;margin-left:146.75pt;margin-top:300.25pt;width:206.75pt;height:22.35pt;z-index:251672576" coordsize="2625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LgPgMAALEJAAAOAAAAZHJzL2Uyb0RvYy54bWzcVltP2zAUfp+0/2D5fSRNL5SIFHVsoEkI&#10;EDDx7DrORXJsz3abdL9+x86lUDomMW2a1gfXl3P9/J0Tn541FUcbpk0pRYJHRyFGTFCZliJP8NeH&#10;iw9zjIwlIiVcCpbgLTP4bPH+3WmtYhbJQvKUaQRGhIlrleDCWhUHgaEFq4g5kooJOMykroiFpc6D&#10;VJMarFc8iMJwFtRSp0pLyoyB3U/tIV54+1nGqL3JMsMs4gmG2KwftR9XbgwWpyTONVFFSbswyBui&#10;qEgpwOlg6hOxBK11+cJUVVItjczsEZVVILOspMznANmMwr1sLrVcK59LHte5GmACaPdwerNZer25&#10;1ahMExwBPIJUcEfeLYI1gFOrPAaZS63u1a3uNvJ25fJtMl25f8gENR7W7QArayyisBnNoulkPMOI&#10;wlk0n4SjeYs7LeByXqjR4vPrikHvNnDRDcHUCihkdiiZ30PpviCKefCNQ6BHadSjdAfcIiLnDEWj&#10;FikvN8BkYgOI/RSj8WQ2Pm5hOIxTGM5PvOEhXRIrbewlkxVykwRrCMGzjmyujIXLAdFexDk2kpfp&#10;Rcm5X7iSYudcow2BYljlvfFnUlw4WSGdVmvQ7QDQfTp+ZrecOTku7lgG7HGX7APxdbtzQihlwo7a&#10;o4KkrPU9DeHncod4Bw2/8gad5Qz8D7Y7A88T6G23Zjp5p8p82Q/K4WuBtcqDhvcshR2Uq1JIfcgA&#10;h6w6z618D1ILjUNpJdMtsEbLtukYRS9KuLYrYuwt0dBloOCgc9obGDIu6wTLboZRIfX3Q/tOHmgN&#10;pxjV0LUSbL6tiWYY8S8CCH8ymkxcm/OLyfTYFbV+erJ6eiLW1bkELgCnITo/dfKW99NMy+oRGuzS&#10;eYUjIij4TjC1ul+c27abQoumbLn0YtDaFLFX4l5RZ9yh6mj50DwSrTruWmD9teyLjMR7FG5lnaaQ&#10;y7WVWen5vcO1wxsK3jWpv1H5UV/5D65gP8oGRdFe4SPbwL7LGbjhK+VwC4jC4zk0QXSgV45nEXzX&#10;9nvln+kBOxLv9QAEZJyNp23p/KIZ2GbV+A/ItE/6Pya+/Zdo7z9/8C7wnbN7w7iHx9O1L5PdS2vx&#10;AwAA//8DAFBLAwQUAAYACAAAACEATriXD+IAAAALAQAADwAAAGRycy9kb3ducmV2LnhtbEyPQU/D&#10;MAyF70j8h8hI3FjSjm5Qmk7TBJymSWxIiFvWem21xqmarO3+PeYEN9vv6fl72WqyrRiw940jDdFM&#10;gUAqXNlQpeHz8PbwBMIHQ6VpHaGGK3pY5bc3mUlLN9IHDvtQCQ4hnxoNdQhdKqUvarTGz1yHxNrJ&#10;9dYEXvtKlr0ZOdy2MlZqIa1piD/UpsNNjcV5f7Ea3kczrufR67A9nzbX70Oy+9pGqPX93bR+ARFw&#10;Cn9m+MVndMiZ6eguVHrRaoif5wlbNSyU4oEdS7Xkdke+PCYxyDyT/zvkPwAAAP//AwBQSwECLQAU&#10;AAYACAAAACEAtoM4kv4AAADhAQAAEwAAAAAAAAAAAAAAAAAAAAAAW0NvbnRlbnRfVHlwZXNdLnht&#10;bFBLAQItABQABgAIAAAAIQA4/SH/1gAAAJQBAAALAAAAAAAAAAAAAAAAAC8BAABfcmVscy8ucmVs&#10;c1BLAQItABQABgAIAAAAIQCug5LgPgMAALEJAAAOAAAAAAAAAAAAAAAAAC4CAABkcnMvZTJvRG9j&#10;LnhtbFBLAQItABQABgAIAAAAIQBOuJcP4gAAAAsBAAAPAAAAAAAAAAAAAAAAAJgFAABkcnMvZG93&#10;bnJldi54bWxQSwUGAAAAAAQABADzAAAApwYAAAAA&#10;">
                      <v:rect id="Rectangle 21" o:spid="_x0000_s1042" style="position:absolute;top:346;width:26254;height: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shape id="Text Box 22" o:spid="_x0000_s1043" type="#_x0000_t202" style="position:absolute;left:2078;width:23622;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4F33E527" w14:textId="3AB87EE3" w:rsidR="00AA7BE3" w:rsidRPr="003B4024" w:rsidRDefault="00AA7BE3" w:rsidP="003B4024">
                              <w:pPr>
                                <w:rPr>
                                  <w:b/>
                                </w:rPr>
                              </w:pPr>
                              <w:r>
                                <w:rPr>
                                  <w:b/>
                                </w:rPr>
                                <w:t>Basis Risk</w:t>
                              </w:r>
                              <w:r w:rsidRPr="003B4024">
                                <w:rPr>
                                  <w:b/>
                                </w:rPr>
                                <w:t xml:space="preserve"> (</w:t>
                              </w:r>
                              <m:oMath>
                                <m:sSub>
                                  <m:sSubPr>
                                    <m:ctrlPr>
                                      <w:rPr>
                                        <w:rFonts w:ascii="Cambria Math" w:hAnsi="Cambria Math"/>
                                        <w:b/>
                                        <w:i/>
                                      </w:rPr>
                                    </m:ctrlPr>
                                  </m:sSubPr>
                                  <m:e>
                                    <m:r>
                                      <m:rPr>
                                        <m:sty m:val="bi"/>
                                      </m:rPr>
                                      <w:rPr>
                                        <w:rFonts w:ascii="Cambria Math" w:hAnsi="Cambria Math"/>
                                      </w:rPr>
                                      <m:t>σ</m:t>
                                    </m:r>
                                  </m:e>
                                  <m:sub>
                                    <m:sSub>
                                      <m:sSubPr>
                                        <m:ctrlPr>
                                          <w:rPr>
                                            <w:rFonts w:ascii="Cambria Math" w:hAnsi="Cambria Math"/>
                                            <w:b/>
                                            <w:i/>
                                          </w:rPr>
                                        </m:ctrlPr>
                                      </m:sSubPr>
                                      <m:e>
                                        <m:r>
                                          <m:rPr>
                                            <m:sty m:val="bi"/>
                                          </m:rPr>
                                          <w:rPr>
                                            <w:rFonts w:ascii="Cambria Math" w:hAnsi="Cambria Math"/>
                                          </w:rPr>
                                          <m:t>θ</m:t>
                                        </m:r>
                                      </m:e>
                                      <m:sub>
                                        <m:r>
                                          <m:rPr>
                                            <m:sty m:val="bi"/>
                                          </m:rPr>
                                          <w:rPr>
                                            <w:rFonts w:ascii="Cambria Math" w:hAnsi="Cambria Math"/>
                                          </w:rPr>
                                          <m:t>i</m:t>
                                        </m:r>
                                      </m:sub>
                                    </m:sSub>
                                  </m:sub>
                                </m:sSub>
                              </m:oMath>
                              <w:r w:rsidRPr="003B4024">
                                <w:rPr>
                                  <w:b/>
                                </w:rPr>
                                <w:t>)</w:t>
                              </w:r>
                            </w:p>
                          </w:txbxContent>
                        </v:textbox>
                      </v:shape>
                    </v:group>
                  </w:pict>
                </mc:Fallback>
              </mc:AlternateContent>
            </w:r>
            <w:r w:rsidR="00CB1253" w:rsidRPr="00CB1253">
              <w:rPr>
                <w:noProof/>
                <w:sz w:val="24"/>
              </w:rPr>
              <w:drawing>
                <wp:inline distT="0" distB="0" distL="0" distR="0" wp14:anchorId="3E9FBD11" wp14:editId="34130FB4">
                  <wp:extent cx="5324475"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751875DC" w14:textId="60199F7C" w:rsidR="003B4024" w:rsidRPr="00C744A2" w:rsidRDefault="003B4024" w:rsidP="00A22DC0">
            <w:pPr>
              <w:jc w:val="both"/>
              <w:rPr>
                <w:sz w:val="24"/>
              </w:rPr>
            </w:pPr>
          </w:p>
        </w:tc>
      </w:tr>
      <w:tr w:rsidR="00CB3056" w:rsidRPr="00C744A2" w14:paraId="431A1147" w14:textId="77777777" w:rsidTr="00C14F34">
        <w:tc>
          <w:tcPr>
            <w:tcW w:w="9350" w:type="dxa"/>
            <w:tcBorders>
              <w:top w:val="single" w:sz="4" w:space="0" w:color="auto"/>
              <w:bottom w:val="single" w:sz="4" w:space="0" w:color="auto"/>
            </w:tcBorders>
          </w:tcPr>
          <w:p w14:paraId="143B5434" w14:textId="4827883C" w:rsidR="00CB3056" w:rsidRPr="00C744A2" w:rsidRDefault="00C14F34" w:rsidP="00A22DC0">
            <w:pPr>
              <w:jc w:val="both"/>
              <w:rPr>
                <w:sz w:val="24"/>
              </w:rPr>
            </w:pPr>
            <w:r>
              <w:rPr>
                <w:sz w:val="24"/>
              </w:rPr>
              <w:t xml:space="preserve">Here we present the WTP for yield and revenue insurance alongside the fair premiums for each contract. </w:t>
            </w:r>
            <w:r w:rsidR="00CB3056">
              <w:rPr>
                <w:sz w:val="24"/>
              </w:rPr>
              <w:t xml:space="preserve"> </w:t>
            </w:r>
          </w:p>
        </w:tc>
      </w:tr>
    </w:tbl>
    <w:p w14:paraId="38B105A2" w14:textId="5624740C" w:rsidR="00CB3056" w:rsidRDefault="00CB3056" w:rsidP="0090513F">
      <w:pPr>
        <w:spacing w:after="0" w:line="240" w:lineRule="auto"/>
        <w:jc w:val="both"/>
        <w:rPr>
          <w:i/>
          <w:sz w:val="24"/>
        </w:rPr>
      </w:pPr>
    </w:p>
    <w:p w14:paraId="6A75CD11" w14:textId="752CC368" w:rsidR="00C14F34" w:rsidRDefault="00C14F34" w:rsidP="0090513F">
      <w:pPr>
        <w:spacing w:after="0" w:line="240" w:lineRule="auto"/>
        <w:jc w:val="both"/>
        <w:rPr>
          <w:i/>
          <w:sz w:val="24"/>
        </w:rPr>
      </w:pPr>
    </w:p>
    <w:p w14:paraId="3DAB6B14" w14:textId="77777777" w:rsidR="00C14F34" w:rsidRDefault="00C14F34" w:rsidP="0090513F">
      <w:pPr>
        <w:spacing w:after="0" w:line="240" w:lineRule="auto"/>
        <w:jc w:val="both"/>
        <w:rPr>
          <w:i/>
          <w:sz w:val="24"/>
        </w:rPr>
      </w:pPr>
    </w:p>
    <w:p w14:paraId="63A4E60B" w14:textId="7008B30C" w:rsidR="00924FC3" w:rsidRPr="00924FC3" w:rsidRDefault="006D5CB1" w:rsidP="0090513F">
      <w:pPr>
        <w:spacing w:after="0" w:line="240" w:lineRule="auto"/>
        <w:jc w:val="both"/>
        <w:rPr>
          <w:i/>
          <w:sz w:val="24"/>
        </w:rPr>
      </w:pPr>
      <w:r>
        <w:rPr>
          <w:i/>
          <w:sz w:val="24"/>
        </w:rPr>
        <w:t>A Preliminary Look at</w:t>
      </w:r>
      <w:r w:rsidR="00924FC3">
        <w:rPr>
          <w:i/>
          <w:sz w:val="24"/>
        </w:rPr>
        <w:t xml:space="preserve"> the Data</w:t>
      </w:r>
    </w:p>
    <w:p w14:paraId="3CA4BC72" w14:textId="4E6E92BF" w:rsidR="00006671" w:rsidRDefault="00006671" w:rsidP="0090513F">
      <w:pPr>
        <w:spacing w:after="0" w:line="240" w:lineRule="auto"/>
        <w:jc w:val="both"/>
        <w:rPr>
          <w:b/>
          <w:sz w:val="24"/>
        </w:rPr>
      </w:pPr>
    </w:p>
    <w:p w14:paraId="13212AF2" w14:textId="303878DE" w:rsidR="00284B33" w:rsidRDefault="00406E39" w:rsidP="0090513F">
      <w:pPr>
        <w:spacing w:after="0" w:line="240" w:lineRule="auto"/>
        <w:jc w:val="both"/>
        <w:rPr>
          <w:b/>
          <w:sz w:val="24"/>
        </w:rPr>
      </w:pPr>
      <w:r>
        <w:rPr>
          <w:sz w:val="24"/>
        </w:rPr>
        <w:t>We now ask if existing data on yields and prices from norther</w:t>
      </w:r>
      <w:r w:rsidR="00975637">
        <w:rPr>
          <w:sz w:val="24"/>
        </w:rPr>
        <w:t>n</w:t>
      </w:r>
      <w:r>
        <w:rPr>
          <w:sz w:val="24"/>
        </w:rPr>
        <w:t xml:space="preserve"> Ghana may shed light on the extent of price variations. </w:t>
      </w:r>
      <w:r w:rsidR="00FD1C10">
        <w:rPr>
          <w:sz w:val="24"/>
        </w:rPr>
        <w:t xml:space="preserve">Using </w:t>
      </w:r>
      <w:r w:rsidR="00C34280">
        <w:rPr>
          <w:sz w:val="24"/>
        </w:rPr>
        <w:t xml:space="preserve">farmer household level </w:t>
      </w:r>
      <w:r w:rsidR="00FD1C10">
        <w:rPr>
          <w:sz w:val="24"/>
        </w:rPr>
        <w:t>data collected between 2015 and 2017 in nort</w:t>
      </w:r>
      <w:r w:rsidR="00674372">
        <w:rPr>
          <w:sz w:val="24"/>
        </w:rPr>
        <w:t>hern Ghana, we present district-</w:t>
      </w:r>
      <w:r w:rsidR="00FD1C10">
        <w:rPr>
          <w:sz w:val="24"/>
        </w:rPr>
        <w:t xml:space="preserve">level area yields and area prices in Table 1. We find </w:t>
      </w:r>
      <w:r w:rsidR="00796333">
        <w:rPr>
          <w:sz w:val="24"/>
        </w:rPr>
        <w:t>that notable variation in prices do exist between regions and between districts. In</w:t>
      </w:r>
      <w:r w:rsidR="00DF5703">
        <w:rPr>
          <w:sz w:val="24"/>
        </w:rPr>
        <w:t xml:space="preserve"> Panel A of</w:t>
      </w:r>
      <w:r w:rsidR="00796333">
        <w:rPr>
          <w:sz w:val="24"/>
        </w:rPr>
        <w:t xml:space="preserve"> Table 2, we confirm this by conducting mean t-tests of maize prices between each pair of regions </w:t>
      </w:r>
      <w:r w:rsidR="00763CA3">
        <w:rPr>
          <w:sz w:val="24"/>
        </w:rPr>
        <w:t>and find a significant difference</w:t>
      </w:r>
      <w:r w:rsidR="00796333">
        <w:rPr>
          <w:sz w:val="24"/>
        </w:rPr>
        <w:t xml:space="preserve"> between regions.</w:t>
      </w:r>
      <w:r w:rsidR="00DF5703">
        <w:rPr>
          <w:sz w:val="24"/>
        </w:rPr>
        <w:t xml:space="preserve"> Furthermore, in Panel B of Table 2, we use mean t-tests to confirm that significant variations in price exist across years as well.</w:t>
      </w:r>
      <w:r w:rsidR="00796333">
        <w:rPr>
          <w:sz w:val="24"/>
        </w:rPr>
        <w:t xml:space="preserve"> These results suggest that </w:t>
      </w:r>
      <w:r w:rsidR="00796333">
        <w:rPr>
          <w:sz w:val="24"/>
        </w:rPr>
        <w:lastRenderedPageBreak/>
        <w:t>meaningful price variation does exist and a price index may be helpful to manage</w:t>
      </w:r>
      <w:r w:rsidR="00DF5703">
        <w:rPr>
          <w:sz w:val="24"/>
        </w:rPr>
        <w:t xml:space="preserve"> the crop</w:t>
      </w:r>
      <w:r w:rsidR="00796333">
        <w:rPr>
          <w:sz w:val="24"/>
        </w:rPr>
        <w:t xml:space="preserve"> price</w:t>
      </w:r>
      <w:r w:rsidR="00DF5703">
        <w:rPr>
          <w:sz w:val="24"/>
        </w:rPr>
        <w:t xml:space="preserve"> component of revenue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84B33" w14:paraId="408711C5" w14:textId="77777777" w:rsidTr="00A22DC0">
        <w:tc>
          <w:tcPr>
            <w:tcW w:w="9350" w:type="dxa"/>
            <w:gridSpan w:val="3"/>
            <w:tcBorders>
              <w:bottom w:val="single" w:sz="4" w:space="0" w:color="auto"/>
            </w:tcBorders>
          </w:tcPr>
          <w:p w14:paraId="7F88DCAF" w14:textId="2163DDC5" w:rsidR="00284B33" w:rsidRPr="00DF5703" w:rsidRDefault="00284B33" w:rsidP="00406E39">
            <w:pPr>
              <w:jc w:val="both"/>
              <w:rPr>
                <w:sz w:val="24"/>
              </w:rPr>
            </w:pPr>
            <w:r w:rsidRPr="00DF5703">
              <w:rPr>
                <w:sz w:val="24"/>
              </w:rPr>
              <w:t>Table 1: Yields and Prices by Region/District</w:t>
            </w:r>
            <w:r w:rsidR="00006671" w:rsidRPr="00DF5703">
              <w:rPr>
                <w:sz w:val="24"/>
              </w:rPr>
              <w:t xml:space="preserve"> </w:t>
            </w:r>
            <w:r w:rsidR="00406E39" w:rsidRPr="00DF5703">
              <w:rPr>
                <w:sz w:val="24"/>
              </w:rPr>
              <w:t>Averaged over 3 Years</w:t>
            </w:r>
          </w:p>
        </w:tc>
      </w:tr>
      <w:tr w:rsidR="00284B33" w14:paraId="097C97A5" w14:textId="77777777" w:rsidTr="00A22DC0">
        <w:tc>
          <w:tcPr>
            <w:tcW w:w="3116" w:type="dxa"/>
            <w:tcBorders>
              <w:bottom w:val="single" w:sz="4" w:space="0" w:color="auto"/>
            </w:tcBorders>
          </w:tcPr>
          <w:p w14:paraId="18C1977F" w14:textId="77777777" w:rsidR="00284B33" w:rsidRPr="00DF5703" w:rsidRDefault="00284B33" w:rsidP="00A22DC0">
            <w:pPr>
              <w:jc w:val="both"/>
              <w:rPr>
                <w:sz w:val="24"/>
              </w:rPr>
            </w:pPr>
            <w:r w:rsidRPr="00DF5703">
              <w:rPr>
                <w:sz w:val="24"/>
              </w:rPr>
              <w:t>Region</w:t>
            </w:r>
          </w:p>
        </w:tc>
        <w:tc>
          <w:tcPr>
            <w:tcW w:w="3117" w:type="dxa"/>
            <w:tcBorders>
              <w:bottom w:val="single" w:sz="4" w:space="0" w:color="auto"/>
            </w:tcBorders>
          </w:tcPr>
          <w:p w14:paraId="55DDB050" w14:textId="77777777" w:rsidR="00284B33" w:rsidRPr="00DF5703" w:rsidRDefault="00284B33" w:rsidP="00A22DC0">
            <w:pPr>
              <w:jc w:val="both"/>
              <w:rPr>
                <w:sz w:val="24"/>
              </w:rPr>
            </w:pPr>
            <w:r w:rsidRPr="00DF5703">
              <w:rPr>
                <w:sz w:val="24"/>
              </w:rPr>
              <w:t>Yield</w:t>
            </w:r>
          </w:p>
        </w:tc>
        <w:tc>
          <w:tcPr>
            <w:tcW w:w="3117" w:type="dxa"/>
            <w:tcBorders>
              <w:bottom w:val="single" w:sz="4" w:space="0" w:color="auto"/>
            </w:tcBorders>
          </w:tcPr>
          <w:p w14:paraId="34C1CA59" w14:textId="77777777" w:rsidR="00284B33" w:rsidRPr="00DF5703" w:rsidRDefault="00284B33" w:rsidP="00A22DC0">
            <w:pPr>
              <w:jc w:val="both"/>
              <w:rPr>
                <w:sz w:val="24"/>
              </w:rPr>
            </w:pPr>
            <w:r w:rsidRPr="00DF5703">
              <w:rPr>
                <w:sz w:val="24"/>
              </w:rPr>
              <w:t>Price</w:t>
            </w:r>
          </w:p>
        </w:tc>
      </w:tr>
      <w:tr w:rsidR="00284B33" w14:paraId="5D34C28E" w14:textId="77777777" w:rsidTr="00284B33">
        <w:tc>
          <w:tcPr>
            <w:tcW w:w="3116" w:type="dxa"/>
            <w:tcBorders>
              <w:top w:val="single" w:sz="4" w:space="0" w:color="auto"/>
            </w:tcBorders>
            <w:shd w:val="clear" w:color="auto" w:fill="F2F2F2" w:themeFill="background1" w:themeFillShade="F2"/>
          </w:tcPr>
          <w:p w14:paraId="0BD24A38" w14:textId="77777777" w:rsidR="00284B33" w:rsidRPr="00284B33" w:rsidRDefault="00284B33" w:rsidP="00A22DC0">
            <w:pPr>
              <w:jc w:val="both"/>
              <w:rPr>
                <w:sz w:val="24"/>
              </w:rPr>
            </w:pPr>
            <w:r w:rsidRPr="00284B33">
              <w:rPr>
                <w:sz w:val="24"/>
              </w:rPr>
              <w:t>Upper East</w:t>
            </w:r>
          </w:p>
        </w:tc>
        <w:tc>
          <w:tcPr>
            <w:tcW w:w="3117" w:type="dxa"/>
            <w:tcBorders>
              <w:top w:val="single" w:sz="4" w:space="0" w:color="auto"/>
            </w:tcBorders>
            <w:shd w:val="clear" w:color="auto" w:fill="F2F2F2" w:themeFill="background1" w:themeFillShade="F2"/>
          </w:tcPr>
          <w:p w14:paraId="1D75FF71" w14:textId="77777777" w:rsidR="00284B33" w:rsidRPr="00284B33" w:rsidRDefault="00284B33" w:rsidP="00A22DC0">
            <w:pPr>
              <w:jc w:val="both"/>
              <w:rPr>
                <w:sz w:val="24"/>
              </w:rPr>
            </w:pPr>
            <w:r w:rsidRPr="00284B33">
              <w:rPr>
                <w:sz w:val="24"/>
              </w:rPr>
              <w:t>358.3 (227.7) kg/acre</w:t>
            </w:r>
          </w:p>
        </w:tc>
        <w:tc>
          <w:tcPr>
            <w:tcW w:w="3117" w:type="dxa"/>
            <w:tcBorders>
              <w:top w:val="single" w:sz="4" w:space="0" w:color="auto"/>
            </w:tcBorders>
            <w:shd w:val="clear" w:color="auto" w:fill="F2F2F2" w:themeFill="background1" w:themeFillShade="F2"/>
          </w:tcPr>
          <w:p w14:paraId="52D55543" w14:textId="77777777" w:rsidR="00284B33" w:rsidRPr="00284B33" w:rsidRDefault="00284B33" w:rsidP="00A22DC0">
            <w:pPr>
              <w:jc w:val="both"/>
              <w:rPr>
                <w:sz w:val="24"/>
              </w:rPr>
            </w:pPr>
            <w:r>
              <w:rPr>
                <w:sz w:val="24"/>
              </w:rPr>
              <w:t>1.14 (0.42) GHc/kg</w:t>
            </w:r>
          </w:p>
        </w:tc>
      </w:tr>
      <w:tr w:rsidR="00284B33" w14:paraId="3C1CCD6B" w14:textId="77777777" w:rsidTr="00284B33">
        <w:tc>
          <w:tcPr>
            <w:tcW w:w="3116" w:type="dxa"/>
            <w:tcBorders>
              <w:top w:val="single" w:sz="4" w:space="0" w:color="auto"/>
            </w:tcBorders>
          </w:tcPr>
          <w:p w14:paraId="0D1ACD59" w14:textId="48B0588C" w:rsidR="00284B33" w:rsidRPr="00284B33" w:rsidRDefault="003A6148" w:rsidP="00284B33">
            <w:pPr>
              <w:rPr>
                <w:sz w:val="24"/>
              </w:rPr>
            </w:pPr>
            <w:r>
              <w:rPr>
                <w:sz w:val="24"/>
              </w:rPr>
              <w:t xml:space="preserve">   </w:t>
            </w:r>
            <w:r w:rsidR="00284B33">
              <w:rPr>
                <w:sz w:val="24"/>
              </w:rPr>
              <w:t>Bawku Municipal</w:t>
            </w:r>
          </w:p>
        </w:tc>
        <w:tc>
          <w:tcPr>
            <w:tcW w:w="3117" w:type="dxa"/>
            <w:tcBorders>
              <w:top w:val="single" w:sz="4" w:space="0" w:color="auto"/>
            </w:tcBorders>
          </w:tcPr>
          <w:p w14:paraId="5844837B" w14:textId="224AF1E2" w:rsidR="00284B33" w:rsidRPr="00284B33" w:rsidRDefault="003A6148" w:rsidP="00A22DC0">
            <w:pPr>
              <w:jc w:val="both"/>
              <w:rPr>
                <w:sz w:val="24"/>
              </w:rPr>
            </w:pPr>
            <w:r>
              <w:rPr>
                <w:sz w:val="24"/>
              </w:rPr>
              <w:t xml:space="preserve">417.3 (231.1) </w:t>
            </w:r>
          </w:p>
        </w:tc>
        <w:tc>
          <w:tcPr>
            <w:tcW w:w="3117" w:type="dxa"/>
            <w:tcBorders>
              <w:top w:val="single" w:sz="4" w:space="0" w:color="auto"/>
            </w:tcBorders>
          </w:tcPr>
          <w:p w14:paraId="5774EFB5" w14:textId="173C8D9C" w:rsidR="00284B33" w:rsidRDefault="00006671" w:rsidP="00A22DC0">
            <w:pPr>
              <w:jc w:val="both"/>
              <w:rPr>
                <w:sz w:val="24"/>
              </w:rPr>
            </w:pPr>
            <w:r>
              <w:rPr>
                <w:sz w:val="24"/>
              </w:rPr>
              <w:t>0.98 (0.28)</w:t>
            </w:r>
          </w:p>
        </w:tc>
      </w:tr>
      <w:tr w:rsidR="00284B33" w14:paraId="4AB54F0D" w14:textId="77777777" w:rsidTr="00284B33">
        <w:tc>
          <w:tcPr>
            <w:tcW w:w="3116" w:type="dxa"/>
          </w:tcPr>
          <w:p w14:paraId="777F3FD7" w14:textId="7BCF2C59" w:rsidR="00284B33" w:rsidRPr="00284B33" w:rsidRDefault="003A6148" w:rsidP="00284B33">
            <w:pPr>
              <w:rPr>
                <w:sz w:val="24"/>
              </w:rPr>
            </w:pPr>
            <w:r>
              <w:rPr>
                <w:sz w:val="24"/>
              </w:rPr>
              <w:t xml:space="preserve">   </w:t>
            </w:r>
            <w:r w:rsidR="00284B33">
              <w:rPr>
                <w:sz w:val="24"/>
              </w:rPr>
              <w:t>Bawku West</w:t>
            </w:r>
          </w:p>
        </w:tc>
        <w:tc>
          <w:tcPr>
            <w:tcW w:w="3117" w:type="dxa"/>
          </w:tcPr>
          <w:p w14:paraId="67C11443" w14:textId="61A67811" w:rsidR="00284B33" w:rsidRPr="00284B33" w:rsidRDefault="003A6148" w:rsidP="00A22DC0">
            <w:pPr>
              <w:jc w:val="both"/>
              <w:rPr>
                <w:sz w:val="24"/>
              </w:rPr>
            </w:pPr>
            <w:r>
              <w:rPr>
                <w:sz w:val="24"/>
              </w:rPr>
              <w:t xml:space="preserve">469.6 (247.6) </w:t>
            </w:r>
          </w:p>
        </w:tc>
        <w:tc>
          <w:tcPr>
            <w:tcW w:w="3117" w:type="dxa"/>
          </w:tcPr>
          <w:p w14:paraId="7533439A" w14:textId="7B1503E5" w:rsidR="00284B33" w:rsidRDefault="00006671" w:rsidP="00A22DC0">
            <w:pPr>
              <w:jc w:val="both"/>
              <w:rPr>
                <w:sz w:val="24"/>
              </w:rPr>
            </w:pPr>
            <w:r>
              <w:rPr>
                <w:sz w:val="24"/>
              </w:rPr>
              <w:t>1.2 (0.27)</w:t>
            </w:r>
          </w:p>
        </w:tc>
      </w:tr>
      <w:tr w:rsidR="00284B33" w14:paraId="4FCB1140" w14:textId="77777777" w:rsidTr="00284B33">
        <w:tc>
          <w:tcPr>
            <w:tcW w:w="3116" w:type="dxa"/>
          </w:tcPr>
          <w:p w14:paraId="7BEB2267" w14:textId="3720A9DD" w:rsidR="00284B33" w:rsidRPr="00284B33" w:rsidRDefault="003A6148" w:rsidP="00284B33">
            <w:pPr>
              <w:rPr>
                <w:sz w:val="24"/>
              </w:rPr>
            </w:pPr>
            <w:r>
              <w:rPr>
                <w:sz w:val="24"/>
              </w:rPr>
              <w:t xml:space="preserve">   </w:t>
            </w:r>
            <w:r w:rsidR="00284B33">
              <w:rPr>
                <w:sz w:val="24"/>
              </w:rPr>
              <w:t>Binduri</w:t>
            </w:r>
          </w:p>
        </w:tc>
        <w:tc>
          <w:tcPr>
            <w:tcW w:w="3117" w:type="dxa"/>
          </w:tcPr>
          <w:p w14:paraId="0693C5A7" w14:textId="5B2BBD72" w:rsidR="00284B33" w:rsidRPr="00284B33" w:rsidRDefault="003A6148" w:rsidP="00A22DC0">
            <w:pPr>
              <w:jc w:val="both"/>
              <w:rPr>
                <w:sz w:val="24"/>
              </w:rPr>
            </w:pPr>
            <w:r>
              <w:rPr>
                <w:sz w:val="24"/>
              </w:rPr>
              <w:t>309.5 (211.9)</w:t>
            </w:r>
          </w:p>
        </w:tc>
        <w:tc>
          <w:tcPr>
            <w:tcW w:w="3117" w:type="dxa"/>
          </w:tcPr>
          <w:p w14:paraId="6E12516F" w14:textId="18F0AF21" w:rsidR="00284B33" w:rsidRDefault="00006671" w:rsidP="00A22DC0">
            <w:pPr>
              <w:jc w:val="both"/>
              <w:rPr>
                <w:sz w:val="24"/>
              </w:rPr>
            </w:pPr>
            <w:r>
              <w:rPr>
                <w:sz w:val="24"/>
              </w:rPr>
              <w:t>1.01 (0.27)</w:t>
            </w:r>
          </w:p>
        </w:tc>
      </w:tr>
      <w:tr w:rsidR="00284B33" w14:paraId="633CA593" w14:textId="77777777" w:rsidTr="00284B33">
        <w:tc>
          <w:tcPr>
            <w:tcW w:w="3116" w:type="dxa"/>
          </w:tcPr>
          <w:p w14:paraId="649144CC" w14:textId="55CA3AC5" w:rsidR="00284B33" w:rsidRPr="00284B33" w:rsidRDefault="003A6148" w:rsidP="00284B33">
            <w:pPr>
              <w:rPr>
                <w:sz w:val="24"/>
              </w:rPr>
            </w:pPr>
            <w:r>
              <w:rPr>
                <w:sz w:val="24"/>
              </w:rPr>
              <w:t xml:space="preserve">   </w:t>
            </w:r>
            <w:r w:rsidR="00284B33">
              <w:rPr>
                <w:sz w:val="24"/>
              </w:rPr>
              <w:t>Bolgatanga Municipal</w:t>
            </w:r>
          </w:p>
        </w:tc>
        <w:tc>
          <w:tcPr>
            <w:tcW w:w="3117" w:type="dxa"/>
          </w:tcPr>
          <w:p w14:paraId="3409257F" w14:textId="71DDE68D" w:rsidR="00284B33" w:rsidRPr="00284B33" w:rsidRDefault="003A6148" w:rsidP="00A22DC0">
            <w:pPr>
              <w:jc w:val="both"/>
              <w:rPr>
                <w:sz w:val="24"/>
              </w:rPr>
            </w:pPr>
            <w:r>
              <w:rPr>
                <w:sz w:val="24"/>
              </w:rPr>
              <w:t>374.8 (229.8)</w:t>
            </w:r>
          </w:p>
        </w:tc>
        <w:tc>
          <w:tcPr>
            <w:tcW w:w="3117" w:type="dxa"/>
          </w:tcPr>
          <w:p w14:paraId="5DF03561" w14:textId="1A570999" w:rsidR="00284B33" w:rsidRDefault="00006671" w:rsidP="00A22DC0">
            <w:pPr>
              <w:jc w:val="both"/>
              <w:rPr>
                <w:sz w:val="24"/>
              </w:rPr>
            </w:pPr>
            <w:r>
              <w:rPr>
                <w:sz w:val="24"/>
              </w:rPr>
              <w:t>1.1 (0.18)</w:t>
            </w:r>
          </w:p>
        </w:tc>
      </w:tr>
      <w:tr w:rsidR="00284B33" w14:paraId="1AD7315C" w14:textId="77777777" w:rsidTr="00284B33">
        <w:tc>
          <w:tcPr>
            <w:tcW w:w="3116" w:type="dxa"/>
          </w:tcPr>
          <w:p w14:paraId="05EA27EB" w14:textId="71EC4964" w:rsidR="00284B33" w:rsidRPr="00284B33" w:rsidRDefault="003A6148" w:rsidP="00284B33">
            <w:pPr>
              <w:rPr>
                <w:sz w:val="24"/>
              </w:rPr>
            </w:pPr>
            <w:r>
              <w:rPr>
                <w:sz w:val="24"/>
              </w:rPr>
              <w:t xml:space="preserve">   </w:t>
            </w:r>
            <w:r w:rsidR="00284B33">
              <w:rPr>
                <w:sz w:val="24"/>
              </w:rPr>
              <w:t>Bongo</w:t>
            </w:r>
          </w:p>
        </w:tc>
        <w:tc>
          <w:tcPr>
            <w:tcW w:w="3117" w:type="dxa"/>
          </w:tcPr>
          <w:p w14:paraId="030A237D" w14:textId="6E9DC96D" w:rsidR="00284B33" w:rsidRPr="00284B33" w:rsidRDefault="003A6148" w:rsidP="00A22DC0">
            <w:pPr>
              <w:jc w:val="both"/>
              <w:rPr>
                <w:sz w:val="24"/>
              </w:rPr>
            </w:pPr>
            <w:r>
              <w:rPr>
                <w:sz w:val="24"/>
              </w:rPr>
              <w:t>318.3 (232.5)</w:t>
            </w:r>
          </w:p>
        </w:tc>
        <w:tc>
          <w:tcPr>
            <w:tcW w:w="3117" w:type="dxa"/>
          </w:tcPr>
          <w:p w14:paraId="37001FF8" w14:textId="4D9ADDA2" w:rsidR="00284B33" w:rsidRDefault="00006671" w:rsidP="00A22DC0">
            <w:pPr>
              <w:jc w:val="both"/>
              <w:rPr>
                <w:sz w:val="24"/>
              </w:rPr>
            </w:pPr>
            <w:r>
              <w:rPr>
                <w:sz w:val="24"/>
              </w:rPr>
              <w:t>1.2 (0.28)</w:t>
            </w:r>
          </w:p>
        </w:tc>
      </w:tr>
      <w:tr w:rsidR="00284B33" w14:paraId="2A47DB3A" w14:textId="77777777" w:rsidTr="00284B33">
        <w:tc>
          <w:tcPr>
            <w:tcW w:w="3116" w:type="dxa"/>
          </w:tcPr>
          <w:p w14:paraId="2F1DAE4E" w14:textId="189034C6" w:rsidR="00284B33" w:rsidRPr="00284B33" w:rsidRDefault="003A6148" w:rsidP="00A22DC0">
            <w:pPr>
              <w:jc w:val="both"/>
              <w:rPr>
                <w:sz w:val="24"/>
              </w:rPr>
            </w:pPr>
            <w:r>
              <w:rPr>
                <w:sz w:val="24"/>
              </w:rPr>
              <w:t xml:space="preserve">   </w:t>
            </w:r>
            <w:r w:rsidR="00284B33">
              <w:rPr>
                <w:sz w:val="24"/>
              </w:rPr>
              <w:t>Builsa North</w:t>
            </w:r>
          </w:p>
        </w:tc>
        <w:tc>
          <w:tcPr>
            <w:tcW w:w="3117" w:type="dxa"/>
          </w:tcPr>
          <w:p w14:paraId="20B4C5A6" w14:textId="7B6D078E" w:rsidR="00284B33" w:rsidRPr="00284B33" w:rsidRDefault="003A6148" w:rsidP="00A22DC0">
            <w:pPr>
              <w:jc w:val="both"/>
              <w:rPr>
                <w:sz w:val="24"/>
              </w:rPr>
            </w:pPr>
            <w:r>
              <w:rPr>
                <w:sz w:val="24"/>
              </w:rPr>
              <w:t>185.2 (115.9)</w:t>
            </w:r>
          </w:p>
        </w:tc>
        <w:tc>
          <w:tcPr>
            <w:tcW w:w="3117" w:type="dxa"/>
          </w:tcPr>
          <w:p w14:paraId="520F2694" w14:textId="262F48F7" w:rsidR="00284B33" w:rsidRDefault="00006671" w:rsidP="00A22DC0">
            <w:pPr>
              <w:jc w:val="both"/>
              <w:rPr>
                <w:sz w:val="24"/>
              </w:rPr>
            </w:pPr>
            <w:r>
              <w:rPr>
                <w:sz w:val="24"/>
              </w:rPr>
              <w:t>1.19 (0.28)</w:t>
            </w:r>
          </w:p>
        </w:tc>
      </w:tr>
      <w:tr w:rsidR="00284B33" w14:paraId="2BEF433B" w14:textId="77777777" w:rsidTr="00284B33">
        <w:tc>
          <w:tcPr>
            <w:tcW w:w="3116" w:type="dxa"/>
          </w:tcPr>
          <w:p w14:paraId="6EB19758" w14:textId="6EFC25B0" w:rsidR="00284B33" w:rsidRPr="00284B33" w:rsidRDefault="003A6148" w:rsidP="00A22DC0">
            <w:pPr>
              <w:jc w:val="both"/>
              <w:rPr>
                <w:sz w:val="24"/>
              </w:rPr>
            </w:pPr>
            <w:r>
              <w:rPr>
                <w:sz w:val="24"/>
              </w:rPr>
              <w:t xml:space="preserve">   </w:t>
            </w:r>
            <w:r w:rsidR="00284B33">
              <w:rPr>
                <w:sz w:val="24"/>
              </w:rPr>
              <w:t>Builda South</w:t>
            </w:r>
          </w:p>
        </w:tc>
        <w:tc>
          <w:tcPr>
            <w:tcW w:w="3117" w:type="dxa"/>
          </w:tcPr>
          <w:p w14:paraId="2E080D45" w14:textId="54E87621" w:rsidR="00284B33" w:rsidRPr="00284B33" w:rsidRDefault="003A6148" w:rsidP="00A22DC0">
            <w:pPr>
              <w:jc w:val="both"/>
              <w:rPr>
                <w:sz w:val="24"/>
              </w:rPr>
            </w:pPr>
            <w:r>
              <w:rPr>
                <w:sz w:val="24"/>
              </w:rPr>
              <w:t>165.6 (64)</w:t>
            </w:r>
          </w:p>
        </w:tc>
        <w:tc>
          <w:tcPr>
            <w:tcW w:w="3117" w:type="dxa"/>
          </w:tcPr>
          <w:p w14:paraId="05F1E51D" w14:textId="0866AE27" w:rsidR="00284B33" w:rsidRDefault="00006671" w:rsidP="00A22DC0">
            <w:pPr>
              <w:jc w:val="both"/>
              <w:rPr>
                <w:sz w:val="24"/>
              </w:rPr>
            </w:pPr>
            <w:r>
              <w:rPr>
                <w:sz w:val="24"/>
              </w:rPr>
              <w:t>1.18 (0.55)</w:t>
            </w:r>
          </w:p>
        </w:tc>
      </w:tr>
      <w:tr w:rsidR="00284B33" w14:paraId="091C4C08" w14:textId="77777777" w:rsidTr="00284B33">
        <w:tc>
          <w:tcPr>
            <w:tcW w:w="3116" w:type="dxa"/>
          </w:tcPr>
          <w:p w14:paraId="3211BFDA" w14:textId="638D047B" w:rsidR="00284B33" w:rsidRPr="00284B33" w:rsidRDefault="003A6148" w:rsidP="00A22DC0">
            <w:pPr>
              <w:jc w:val="both"/>
              <w:rPr>
                <w:sz w:val="24"/>
              </w:rPr>
            </w:pPr>
            <w:r>
              <w:rPr>
                <w:sz w:val="24"/>
              </w:rPr>
              <w:t xml:space="preserve">   </w:t>
            </w:r>
            <w:r w:rsidR="00284B33">
              <w:rPr>
                <w:sz w:val="24"/>
              </w:rPr>
              <w:t>Garu Tempane</w:t>
            </w:r>
          </w:p>
        </w:tc>
        <w:tc>
          <w:tcPr>
            <w:tcW w:w="3117" w:type="dxa"/>
          </w:tcPr>
          <w:p w14:paraId="6DF9DDB1" w14:textId="762DEF33" w:rsidR="00284B33" w:rsidRPr="00284B33" w:rsidRDefault="003A6148" w:rsidP="00A22DC0">
            <w:pPr>
              <w:jc w:val="both"/>
              <w:rPr>
                <w:sz w:val="24"/>
              </w:rPr>
            </w:pPr>
            <w:r>
              <w:rPr>
                <w:sz w:val="24"/>
              </w:rPr>
              <w:t>338.9 (217.5)</w:t>
            </w:r>
          </w:p>
        </w:tc>
        <w:tc>
          <w:tcPr>
            <w:tcW w:w="3117" w:type="dxa"/>
          </w:tcPr>
          <w:p w14:paraId="25BAC4CA" w14:textId="48D2E674" w:rsidR="00284B33" w:rsidRDefault="00006671" w:rsidP="00A22DC0">
            <w:pPr>
              <w:jc w:val="both"/>
              <w:rPr>
                <w:sz w:val="24"/>
              </w:rPr>
            </w:pPr>
            <w:r>
              <w:rPr>
                <w:sz w:val="24"/>
              </w:rPr>
              <w:t>1.18 (0.53)</w:t>
            </w:r>
          </w:p>
        </w:tc>
      </w:tr>
      <w:tr w:rsidR="00284B33" w14:paraId="0FDF0B25" w14:textId="77777777" w:rsidTr="00284B33">
        <w:tc>
          <w:tcPr>
            <w:tcW w:w="3116" w:type="dxa"/>
          </w:tcPr>
          <w:p w14:paraId="24228E92" w14:textId="40F2E41F" w:rsidR="00284B33" w:rsidRDefault="003A6148" w:rsidP="00A22DC0">
            <w:pPr>
              <w:jc w:val="both"/>
              <w:rPr>
                <w:sz w:val="24"/>
              </w:rPr>
            </w:pPr>
            <w:r>
              <w:rPr>
                <w:sz w:val="24"/>
              </w:rPr>
              <w:t xml:space="preserve">   </w:t>
            </w:r>
            <w:r w:rsidR="00284B33">
              <w:rPr>
                <w:sz w:val="24"/>
              </w:rPr>
              <w:t>Kasena Nankana East</w:t>
            </w:r>
          </w:p>
        </w:tc>
        <w:tc>
          <w:tcPr>
            <w:tcW w:w="3117" w:type="dxa"/>
          </w:tcPr>
          <w:p w14:paraId="5CC4499C" w14:textId="208714A9" w:rsidR="00284B33" w:rsidRPr="00284B33" w:rsidRDefault="00006671" w:rsidP="00A22DC0">
            <w:pPr>
              <w:jc w:val="both"/>
              <w:rPr>
                <w:sz w:val="24"/>
              </w:rPr>
            </w:pPr>
            <w:r>
              <w:rPr>
                <w:sz w:val="24"/>
              </w:rPr>
              <w:t>349.4 (187.2)</w:t>
            </w:r>
          </w:p>
        </w:tc>
        <w:tc>
          <w:tcPr>
            <w:tcW w:w="3117" w:type="dxa"/>
          </w:tcPr>
          <w:p w14:paraId="7148C5F4" w14:textId="4DCA2368" w:rsidR="00284B33" w:rsidRDefault="00006671" w:rsidP="00A22DC0">
            <w:pPr>
              <w:jc w:val="both"/>
              <w:rPr>
                <w:sz w:val="24"/>
              </w:rPr>
            </w:pPr>
            <w:r>
              <w:rPr>
                <w:sz w:val="24"/>
              </w:rPr>
              <w:t>1.17 (0.32)</w:t>
            </w:r>
          </w:p>
        </w:tc>
      </w:tr>
      <w:tr w:rsidR="00284B33" w14:paraId="67795AA3" w14:textId="77777777" w:rsidTr="00284B33">
        <w:tc>
          <w:tcPr>
            <w:tcW w:w="3116" w:type="dxa"/>
          </w:tcPr>
          <w:p w14:paraId="2BA1882D" w14:textId="6E000D66" w:rsidR="00284B33" w:rsidRDefault="003A6148" w:rsidP="00A22DC0">
            <w:pPr>
              <w:jc w:val="both"/>
              <w:rPr>
                <w:sz w:val="24"/>
              </w:rPr>
            </w:pPr>
            <w:r>
              <w:rPr>
                <w:sz w:val="24"/>
              </w:rPr>
              <w:t xml:space="preserve">   </w:t>
            </w:r>
            <w:r w:rsidR="00284B33">
              <w:rPr>
                <w:sz w:val="24"/>
              </w:rPr>
              <w:t>Kasena Nankana West</w:t>
            </w:r>
          </w:p>
        </w:tc>
        <w:tc>
          <w:tcPr>
            <w:tcW w:w="3117" w:type="dxa"/>
          </w:tcPr>
          <w:p w14:paraId="6EF1EA4E" w14:textId="21FF1E63" w:rsidR="00284B33" w:rsidRPr="00284B33" w:rsidRDefault="00006671" w:rsidP="00A22DC0">
            <w:pPr>
              <w:jc w:val="both"/>
              <w:rPr>
                <w:sz w:val="24"/>
              </w:rPr>
            </w:pPr>
            <w:r>
              <w:rPr>
                <w:sz w:val="24"/>
              </w:rPr>
              <w:t>261.3 (153.3)</w:t>
            </w:r>
          </w:p>
        </w:tc>
        <w:tc>
          <w:tcPr>
            <w:tcW w:w="3117" w:type="dxa"/>
          </w:tcPr>
          <w:p w14:paraId="51B6A8DF" w14:textId="4C1B0F88" w:rsidR="00284B33" w:rsidRDefault="00006671" w:rsidP="00A22DC0">
            <w:pPr>
              <w:jc w:val="both"/>
              <w:rPr>
                <w:sz w:val="24"/>
              </w:rPr>
            </w:pPr>
            <w:r>
              <w:rPr>
                <w:sz w:val="24"/>
              </w:rPr>
              <w:t>1.1 (0.22)</w:t>
            </w:r>
          </w:p>
        </w:tc>
      </w:tr>
      <w:tr w:rsidR="00284B33" w14:paraId="18815957" w14:textId="77777777" w:rsidTr="00284B33">
        <w:tc>
          <w:tcPr>
            <w:tcW w:w="3116" w:type="dxa"/>
            <w:tcBorders>
              <w:top w:val="single" w:sz="4" w:space="0" w:color="auto"/>
              <w:bottom w:val="single" w:sz="4" w:space="0" w:color="auto"/>
            </w:tcBorders>
            <w:shd w:val="clear" w:color="auto" w:fill="F2F2F2" w:themeFill="background1" w:themeFillShade="F2"/>
          </w:tcPr>
          <w:p w14:paraId="4C18ABE9" w14:textId="77777777" w:rsidR="00284B33" w:rsidRPr="00284B33" w:rsidRDefault="00284B33" w:rsidP="00A22DC0">
            <w:pPr>
              <w:jc w:val="both"/>
              <w:rPr>
                <w:sz w:val="24"/>
              </w:rPr>
            </w:pPr>
            <w:r w:rsidRPr="00284B33">
              <w:rPr>
                <w:sz w:val="24"/>
              </w:rPr>
              <w:t>Upper West</w:t>
            </w:r>
          </w:p>
        </w:tc>
        <w:tc>
          <w:tcPr>
            <w:tcW w:w="3117" w:type="dxa"/>
            <w:tcBorders>
              <w:top w:val="single" w:sz="4" w:space="0" w:color="auto"/>
              <w:bottom w:val="single" w:sz="4" w:space="0" w:color="auto"/>
            </w:tcBorders>
            <w:shd w:val="clear" w:color="auto" w:fill="F2F2F2" w:themeFill="background1" w:themeFillShade="F2"/>
          </w:tcPr>
          <w:p w14:paraId="6987D9D1" w14:textId="77777777" w:rsidR="00284B33" w:rsidRPr="00284B33" w:rsidRDefault="00284B33" w:rsidP="00A22DC0">
            <w:pPr>
              <w:jc w:val="both"/>
              <w:rPr>
                <w:sz w:val="24"/>
              </w:rPr>
            </w:pPr>
            <w:r>
              <w:rPr>
                <w:sz w:val="24"/>
              </w:rPr>
              <w:t>349.1 (220.1) kg/acre</w:t>
            </w:r>
          </w:p>
        </w:tc>
        <w:tc>
          <w:tcPr>
            <w:tcW w:w="3117" w:type="dxa"/>
            <w:tcBorders>
              <w:top w:val="single" w:sz="4" w:space="0" w:color="auto"/>
              <w:bottom w:val="single" w:sz="4" w:space="0" w:color="auto"/>
            </w:tcBorders>
            <w:shd w:val="clear" w:color="auto" w:fill="F2F2F2" w:themeFill="background1" w:themeFillShade="F2"/>
          </w:tcPr>
          <w:p w14:paraId="1BBC0E67" w14:textId="77777777" w:rsidR="00284B33" w:rsidRPr="00284B33" w:rsidRDefault="00284B33" w:rsidP="00A22DC0">
            <w:pPr>
              <w:jc w:val="both"/>
              <w:rPr>
                <w:sz w:val="24"/>
              </w:rPr>
            </w:pPr>
            <w:r>
              <w:rPr>
                <w:sz w:val="24"/>
              </w:rPr>
              <w:t>1.08 (0.25) GHc/kg</w:t>
            </w:r>
          </w:p>
        </w:tc>
      </w:tr>
      <w:tr w:rsidR="00284B33" w14:paraId="21A7B9DE" w14:textId="77777777" w:rsidTr="00284B33">
        <w:tc>
          <w:tcPr>
            <w:tcW w:w="3116" w:type="dxa"/>
            <w:tcBorders>
              <w:top w:val="single" w:sz="4" w:space="0" w:color="auto"/>
            </w:tcBorders>
          </w:tcPr>
          <w:p w14:paraId="3A575121" w14:textId="39B7530D" w:rsidR="00284B33" w:rsidRPr="00284B33" w:rsidRDefault="003A6148" w:rsidP="00A22DC0">
            <w:pPr>
              <w:jc w:val="both"/>
              <w:rPr>
                <w:sz w:val="24"/>
              </w:rPr>
            </w:pPr>
            <w:r>
              <w:rPr>
                <w:sz w:val="24"/>
              </w:rPr>
              <w:t xml:space="preserve">   </w:t>
            </w:r>
            <w:r w:rsidR="00284B33">
              <w:rPr>
                <w:sz w:val="24"/>
              </w:rPr>
              <w:t>Jarapa</w:t>
            </w:r>
          </w:p>
        </w:tc>
        <w:tc>
          <w:tcPr>
            <w:tcW w:w="3117" w:type="dxa"/>
            <w:tcBorders>
              <w:top w:val="single" w:sz="4" w:space="0" w:color="auto"/>
            </w:tcBorders>
          </w:tcPr>
          <w:p w14:paraId="42D02545" w14:textId="344F94CA" w:rsidR="00284B33" w:rsidRDefault="003A6148" w:rsidP="00A22DC0">
            <w:pPr>
              <w:jc w:val="both"/>
              <w:rPr>
                <w:sz w:val="24"/>
              </w:rPr>
            </w:pPr>
            <w:r>
              <w:rPr>
                <w:sz w:val="24"/>
              </w:rPr>
              <w:t>306.9 (174.6)</w:t>
            </w:r>
          </w:p>
        </w:tc>
        <w:tc>
          <w:tcPr>
            <w:tcW w:w="3117" w:type="dxa"/>
            <w:tcBorders>
              <w:top w:val="single" w:sz="4" w:space="0" w:color="auto"/>
            </w:tcBorders>
          </w:tcPr>
          <w:p w14:paraId="4632B071" w14:textId="39BA6CEE" w:rsidR="00284B33" w:rsidRDefault="00006671" w:rsidP="00A22DC0">
            <w:pPr>
              <w:jc w:val="both"/>
              <w:rPr>
                <w:sz w:val="24"/>
              </w:rPr>
            </w:pPr>
            <w:r>
              <w:rPr>
                <w:sz w:val="24"/>
              </w:rPr>
              <w:t>1.2 (0.24)</w:t>
            </w:r>
          </w:p>
        </w:tc>
      </w:tr>
      <w:tr w:rsidR="00284B33" w14:paraId="10127D9A" w14:textId="77777777" w:rsidTr="00284B33">
        <w:tc>
          <w:tcPr>
            <w:tcW w:w="3116" w:type="dxa"/>
          </w:tcPr>
          <w:p w14:paraId="462223BF" w14:textId="4CCA5C68" w:rsidR="00284B33" w:rsidRPr="00284B33" w:rsidRDefault="003A6148" w:rsidP="00A22DC0">
            <w:pPr>
              <w:jc w:val="both"/>
              <w:rPr>
                <w:sz w:val="24"/>
              </w:rPr>
            </w:pPr>
            <w:r>
              <w:rPr>
                <w:sz w:val="24"/>
              </w:rPr>
              <w:t xml:space="preserve">   </w:t>
            </w:r>
            <w:r w:rsidR="00284B33">
              <w:rPr>
                <w:sz w:val="24"/>
              </w:rPr>
              <w:t>Lambussie Karnie</w:t>
            </w:r>
          </w:p>
        </w:tc>
        <w:tc>
          <w:tcPr>
            <w:tcW w:w="3117" w:type="dxa"/>
          </w:tcPr>
          <w:p w14:paraId="26C229EF" w14:textId="0B121963" w:rsidR="00284B33" w:rsidRDefault="00006671" w:rsidP="00A22DC0">
            <w:pPr>
              <w:jc w:val="both"/>
              <w:rPr>
                <w:sz w:val="24"/>
              </w:rPr>
            </w:pPr>
            <w:r>
              <w:rPr>
                <w:sz w:val="24"/>
              </w:rPr>
              <w:t>339.6 (207.4)</w:t>
            </w:r>
          </w:p>
        </w:tc>
        <w:tc>
          <w:tcPr>
            <w:tcW w:w="3117" w:type="dxa"/>
          </w:tcPr>
          <w:p w14:paraId="01CF7D9C" w14:textId="0034B394" w:rsidR="00284B33" w:rsidRDefault="00006671" w:rsidP="00A22DC0">
            <w:pPr>
              <w:jc w:val="both"/>
              <w:rPr>
                <w:sz w:val="24"/>
              </w:rPr>
            </w:pPr>
            <w:r>
              <w:rPr>
                <w:sz w:val="24"/>
              </w:rPr>
              <w:t>1.1 (0.19)</w:t>
            </w:r>
          </w:p>
        </w:tc>
      </w:tr>
      <w:tr w:rsidR="00284B33" w14:paraId="6490E0E1" w14:textId="77777777" w:rsidTr="00284B33">
        <w:tc>
          <w:tcPr>
            <w:tcW w:w="3116" w:type="dxa"/>
          </w:tcPr>
          <w:p w14:paraId="1C2F5B78" w14:textId="26A89405" w:rsidR="00284B33" w:rsidRPr="00284B33" w:rsidRDefault="003A6148" w:rsidP="00A22DC0">
            <w:pPr>
              <w:jc w:val="both"/>
              <w:rPr>
                <w:sz w:val="24"/>
              </w:rPr>
            </w:pPr>
            <w:r>
              <w:rPr>
                <w:sz w:val="24"/>
              </w:rPr>
              <w:t xml:space="preserve">   </w:t>
            </w:r>
            <w:r w:rsidR="00284B33">
              <w:rPr>
                <w:sz w:val="24"/>
              </w:rPr>
              <w:t>Lawra</w:t>
            </w:r>
          </w:p>
        </w:tc>
        <w:tc>
          <w:tcPr>
            <w:tcW w:w="3117" w:type="dxa"/>
          </w:tcPr>
          <w:p w14:paraId="5FD4D991" w14:textId="5BD5A2AF" w:rsidR="00284B33" w:rsidRDefault="00006671" w:rsidP="00A22DC0">
            <w:pPr>
              <w:jc w:val="both"/>
              <w:rPr>
                <w:sz w:val="24"/>
              </w:rPr>
            </w:pPr>
            <w:r>
              <w:rPr>
                <w:sz w:val="24"/>
              </w:rPr>
              <w:t>168.7 (82.6)</w:t>
            </w:r>
          </w:p>
        </w:tc>
        <w:tc>
          <w:tcPr>
            <w:tcW w:w="3117" w:type="dxa"/>
          </w:tcPr>
          <w:p w14:paraId="03AB7AC1" w14:textId="68D283AA" w:rsidR="00284B33" w:rsidRDefault="00006671" w:rsidP="00A22DC0">
            <w:pPr>
              <w:jc w:val="both"/>
              <w:rPr>
                <w:sz w:val="24"/>
              </w:rPr>
            </w:pPr>
            <w:r>
              <w:rPr>
                <w:sz w:val="24"/>
              </w:rPr>
              <w:t>1.2 (0.08)</w:t>
            </w:r>
          </w:p>
        </w:tc>
      </w:tr>
      <w:tr w:rsidR="00284B33" w14:paraId="43DBCDDA" w14:textId="77777777" w:rsidTr="00284B33">
        <w:tc>
          <w:tcPr>
            <w:tcW w:w="3116" w:type="dxa"/>
          </w:tcPr>
          <w:p w14:paraId="4F0CDA2E" w14:textId="7F17FDE8" w:rsidR="00284B33" w:rsidRDefault="003A6148" w:rsidP="00A22DC0">
            <w:pPr>
              <w:jc w:val="both"/>
              <w:rPr>
                <w:sz w:val="24"/>
              </w:rPr>
            </w:pPr>
            <w:r>
              <w:rPr>
                <w:sz w:val="24"/>
              </w:rPr>
              <w:t xml:space="preserve">   </w:t>
            </w:r>
            <w:r w:rsidR="00284B33">
              <w:rPr>
                <w:sz w:val="24"/>
              </w:rPr>
              <w:t>Nandom</w:t>
            </w:r>
          </w:p>
        </w:tc>
        <w:tc>
          <w:tcPr>
            <w:tcW w:w="3117" w:type="dxa"/>
          </w:tcPr>
          <w:p w14:paraId="3B1AFC04" w14:textId="17CE3CF1" w:rsidR="00284B33" w:rsidRDefault="00006671" w:rsidP="00A22DC0">
            <w:pPr>
              <w:jc w:val="both"/>
              <w:rPr>
                <w:sz w:val="24"/>
              </w:rPr>
            </w:pPr>
            <w:r>
              <w:rPr>
                <w:sz w:val="24"/>
              </w:rPr>
              <w:t>316.5 (182.8)</w:t>
            </w:r>
          </w:p>
        </w:tc>
        <w:tc>
          <w:tcPr>
            <w:tcW w:w="3117" w:type="dxa"/>
          </w:tcPr>
          <w:p w14:paraId="1542EF1C" w14:textId="1C831B94" w:rsidR="00284B33" w:rsidRDefault="00006671" w:rsidP="00A22DC0">
            <w:pPr>
              <w:jc w:val="both"/>
              <w:rPr>
                <w:sz w:val="24"/>
              </w:rPr>
            </w:pPr>
            <w:r>
              <w:rPr>
                <w:sz w:val="24"/>
              </w:rPr>
              <w:t>1.12 (0.12)</w:t>
            </w:r>
          </w:p>
        </w:tc>
      </w:tr>
      <w:tr w:rsidR="00284B33" w14:paraId="6E3CEC46" w14:textId="77777777" w:rsidTr="00284B33">
        <w:tc>
          <w:tcPr>
            <w:tcW w:w="3116" w:type="dxa"/>
          </w:tcPr>
          <w:p w14:paraId="3206007A" w14:textId="2165B3C3" w:rsidR="00284B33" w:rsidRDefault="003A6148" w:rsidP="00A22DC0">
            <w:pPr>
              <w:jc w:val="both"/>
              <w:rPr>
                <w:sz w:val="24"/>
              </w:rPr>
            </w:pPr>
            <w:r>
              <w:rPr>
                <w:sz w:val="24"/>
              </w:rPr>
              <w:t xml:space="preserve">   </w:t>
            </w:r>
            <w:r w:rsidR="00284B33">
              <w:rPr>
                <w:sz w:val="24"/>
              </w:rPr>
              <w:t>Sissala East</w:t>
            </w:r>
          </w:p>
        </w:tc>
        <w:tc>
          <w:tcPr>
            <w:tcW w:w="3117" w:type="dxa"/>
          </w:tcPr>
          <w:p w14:paraId="2B4D0ED4" w14:textId="4CFB293E" w:rsidR="00284B33" w:rsidRDefault="00006671" w:rsidP="00A22DC0">
            <w:pPr>
              <w:jc w:val="both"/>
              <w:rPr>
                <w:sz w:val="24"/>
              </w:rPr>
            </w:pPr>
            <w:r>
              <w:rPr>
                <w:sz w:val="24"/>
              </w:rPr>
              <w:t>643.3 (272.9)</w:t>
            </w:r>
          </w:p>
        </w:tc>
        <w:tc>
          <w:tcPr>
            <w:tcW w:w="3117" w:type="dxa"/>
          </w:tcPr>
          <w:p w14:paraId="463EB1EF" w14:textId="379937DF" w:rsidR="00284B33" w:rsidRDefault="00006671" w:rsidP="00A22DC0">
            <w:pPr>
              <w:jc w:val="both"/>
              <w:rPr>
                <w:sz w:val="24"/>
              </w:rPr>
            </w:pPr>
            <w:r>
              <w:rPr>
                <w:sz w:val="24"/>
              </w:rPr>
              <w:t>0.87 (0.17)</w:t>
            </w:r>
          </w:p>
        </w:tc>
      </w:tr>
      <w:tr w:rsidR="00284B33" w14:paraId="248C7C43" w14:textId="77777777" w:rsidTr="00284B33">
        <w:tc>
          <w:tcPr>
            <w:tcW w:w="3116" w:type="dxa"/>
            <w:tcBorders>
              <w:bottom w:val="single" w:sz="4" w:space="0" w:color="auto"/>
            </w:tcBorders>
          </w:tcPr>
          <w:p w14:paraId="5A50ECA2" w14:textId="514AE6BB" w:rsidR="00284B33" w:rsidRPr="00284B33" w:rsidRDefault="003A6148" w:rsidP="00A22DC0">
            <w:pPr>
              <w:jc w:val="both"/>
              <w:rPr>
                <w:sz w:val="24"/>
              </w:rPr>
            </w:pPr>
            <w:r>
              <w:rPr>
                <w:sz w:val="24"/>
              </w:rPr>
              <w:t xml:space="preserve">   </w:t>
            </w:r>
            <w:r w:rsidR="00284B33">
              <w:rPr>
                <w:sz w:val="24"/>
              </w:rPr>
              <w:t>Sissala West</w:t>
            </w:r>
          </w:p>
        </w:tc>
        <w:tc>
          <w:tcPr>
            <w:tcW w:w="3117" w:type="dxa"/>
            <w:tcBorders>
              <w:bottom w:val="single" w:sz="4" w:space="0" w:color="auto"/>
            </w:tcBorders>
          </w:tcPr>
          <w:p w14:paraId="6D92F5DD" w14:textId="0A9C5ADC" w:rsidR="00284B33" w:rsidRDefault="00006671" w:rsidP="00A22DC0">
            <w:pPr>
              <w:jc w:val="both"/>
              <w:rPr>
                <w:sz w:val="24"/>
              </w:rPr>
            </w:pPr>
            <w:r>
              <w:rPr>
                <w:sz w:val="24"/>
              </w:rPr>
              <w:t>556.5 (280.8)</w:t>
            </w:r>
          </w:p>
        </w:tc>
        <w:tc>
          <w:tcPr>
            <w:tcW w:w="3117" w:type="dxa"/>
            <w:tcBorders>
              <w:bottom w:val="single" w:sz="4" w:space="0" w:color="auto"/>
            </w:tcBorders>
          </w:tcPr>
          <w:p w14:paraId="39EF1885" w14:textId="140E123F" w:rsidR="00284B33" w:rsidRDefault="00006671" w:rsidP="00A22DC0">
            <w:pPr>
              <w:jc w:val="both"/>
              <w:rPr>
                <w:sz w:val="24"/>
              </w:rPr>
            </w:pPr>
            <w:r>
              <w:rPr>
                <w:sz w:val="24"/>
              </w:rPr>
              <w:t>0.69 (0.26)</w:t>
            </w:r>
          </w:p>
        </w:tc>
      </w:tr>
      <w:tr w:rsidR="00284B33" w14:paraId="5CE42B81" w14:textId="77777777" w:rsidTr="00284B33">
        <w:tc>
          <w:tcPr>
            <w:tcW w:w="3116" w:type="dxa"/>
            <w:tcBorders>
              <w:top w:val="single" w:sz="4" w:space="0" w:color="auto"/>
              <w:bottom w:val="single" w:sz="4" w:space="0" w:color="auto"/>
            </w:tcBorders>
            <w:shd w:val="clear" w:color="auto" w:fill="F2F2F2" w:themeFill="background1" w:themeFillShade="F2"/>
          </w:tcPr>
          <w:p w14:paraId="354D22DE" w14:textId="77777777" w:rsidR="00284B33" w:rsidRPr="00284B33" w:rsidRDefault="00284B33" w:rsidP="00A22DC0">
            <w:pPr>
              <w:jc w:val="both"/>
              <w:rPr>
                <w:sz w:val="24"/>
              </w:rPr>
            </w:pPr>
            <w:r w:rsidRPr="00284B33">
              <w:rPr>
                <w:sz w:val="24"/>
              </w:rPr>
              <w:t>Northern</w:t>
            </w:r>
          </w:p>
        </w:tc>
        <w:tc>
          <w:tcPr>
            <w:tcW w:w="3117" w:type="dxa"/>
            <w:tcBorders>
              <w:top w:val="single" w:sz="4" w:space="0" w:color="auto"/>
              <w:bottom w:val="single" w:sz="4" w:space="0" w:color="auto"/>
            </w:tcBorders>
            <w:shd w:val="clear" w:color="auto" w:fill="F2F2F2" w:themeFill="background1" w:themeFillShade="F2"/>
          </w:tcPr>
          <w:p w14:paraId="6B3F6454" w14:textId="77777777" w:rsidR="00284B33" w:rsidRPr="00284B33" w:rsidRDefault="00284B33" w:rsidP="00A22DC0">
            <w:pPr>
              <w:jc w:val="both"/>
              <w:rPr>
                <w:sz w:val="24"/>
              </w:rPr>
            </w:pPr>
            <w:r>
              <w:rPr>
                <w:sz w:val="24"/>
              </w:rPr>
              <w:t>325.5 (198.1) kg/acre</w:t>
            </w:r>
          </w:p>
        </w:tc>
        <w:tc>
          <w:tcPr>
            <w:tcW w:w="3117" w:type="dxa"/>
            <w:tcBorders>
              <w:top w:val="single" w:sz="4" w:space="0" w:color="auto"/>
              <w:bottom w:val="single" w:sz="4" w:space="0" w:color="auto"/>
            </w:tcBorders>
            <w:shd w:val="clear" w:color="auto" w:fill="F2F2F2" w:themeFill="background1" w:themeFillShade="F2"/>
          </w:tcPr>
          <w:p w14:paraId="79F8E7DE" w14:textId="77777777" w:rsidR="00284B33" w:rsidRPr="00284B33" w:rsidRDefault="00284B33" w:rsidP="00A22DC0">
            <w:pPr>
              <w:jc w:val="both"/>
              <w:rPr>
                <w:sz w:val="24"/>
              </w:rPr>
            </w:pPr>
            <w:r>
              <w:rPr>
                <w:sz w:val="24"/>
              </w:rPr>
              <w:t>0.92 (0.29) GHc/kg</w:t>
            </w:r>
          </w:p>
        </w:tc>
      </w:tr>
      <w:tr w:rsidR="00284B33" w14:paraId="4677F46A" w14:textId="77777777" w:rsidTr="00284B33">
        <w:tc>
          <w:tcPr>
            <w:tcW w:w="3116" w:type="dxa"/>
            <w:tcBorders>
              <w:top w:val="single" w:sz="4" w:space="0" w:color="auto"/>
            </w:tcBorders>
          </w:tcPr>
          <w:p w14:paraId="1DE22091" w14:textId="4CCAC98B" w:rsidR="00284B33" w:rsidRPr="00284B33" w:rsidRDefault="003A6148" w:rsidP="00A22DC0">
            <w:pPr>
              <w:jc w:val="both"/>
              <w:rPr>
                <w:sz w:val="24"/>
              </w:rPr>
            </w:pPr>
            <w:r>
              <w:rPr>
                <w:sz w:val="24"/>
              </w:rPr>
              <w:t xml:space="preserve">   </w:t>
            </w:r>
            <w:r w:rsidR="00284B33">
              <w:rPr>
                <w:sz w:val="24"/>
              </w:rPr>
              <w:t>Bonkpirigu Yongyong</w:t>
            </w:r>
          </w:p>
        </w:tc>
        <w:tc>
          <w:tcPr>
            <w:tcW w:w="3117" w:type="dxa"/>
            <w:tcBorders>
              <w:top w:val="single" w:sz="4" w:space="0" w:color="auto"/>
            </w:tcBorders>
          </w:tcPr>
          <w:p w14:paraId="070826E2" w14:textId="433C3039" w:rsidR="00284B33" w:rsidRDefault="003A6148" w:rsidP="00A22DC0">
            <w:pPr>
              <w:jc w:val="both"/>
              <w:rPr>
                <w:sz w:val="24"/>
              </w:rPr>
            </w:pPr>
            <w:r>
              <w:rPr>
                <w:sz w:val="24"/>
              </w:rPr>
              <w:t>386 (191.6)</w:t>
            </w:r>
          </w:p>
        </w:tc>
        <w:tc>
          <w:tcPr>
            <w:tcW w:w="3117" w:type="dxa"/>
            <w:tcBorders>
              <w:top w:val="single" w:sz="4" w:space="0" w:color="auto"/>
            </w:tcBorders>
          </w:tcPr>
          <w:p w14:paraId="5EC85529" w14:textId="10586F27" w:rsidR="00284B33" w:rsidRDefault="00006671" w:rsidP="00A22DC0">
            <w:pPr>
              <w:jc w:val="both"/>
              <w:rPr>
                <w:sz w:val="24"/>
              </w:rPr>
            </w:pPr>
            <w:r>
              <w:rPr>
                <w:sz w:val="24"/>
              </w:rPr>
              <w:t>0.99 (0.17)</w:t>
            </w:r>
          </w:p>
        </w:tc>
      </w:tr>
      <w:tr w:rsidR="00284B33" w14:paraId="05A15DCB" w14:textId="77777777" w:rsidTr="00284B33">
        <w:tc>
          <w:tcPr>
            <w:tcW w:w="3116" w:type="dxa"/>
          </w:tcPr>
          <w:p w14:paraId="604F93BB" w14:textId="5E9A4B60" w:rsidR="00284B33" w:rsidRPr="00284B33" w:rsidRDefault="003A6148" w:rsidP="00A22DC0">
            <w:pPr>
              <w:jc w:val="both"/>
              <w:rPr>
                <w:sz w:val="24"/>
              </w:rPr>
            </w:pPr>
            <w:r>
              <w:rPr>
                <w:sz w:val="24"/>
              </w:rPr>
              <w:t xml:space="preserve">   </w:t>
            </w:r>
            <w:r w:rsidR="00284B33">
              <w:rPr>
                <w:sz w:val="24"/>
              </w:rPr>
              <w:t>Chereponi</w:t>
            </w:r>
          </w:p>
        </w:tc>
        <w:tc>
          <w:tcPr>
            <w:tcW w:w="3117" w:type="dxa"/>
          </w:tcPr>
          <w:p w14:paraId="67E34725" w14:textId="2FEA745F" w:rsidR="00284B33" w:rsidRDefault="003A6148" w:rsidP="00A22DC0">
            <w:pPr>
              <w:jc w:val="both"/>
              <w:rPr>
                <w:sz w:val="24"/>
              </w:rPr>
            </w:pPr>
            <w:r>
              <w:rPr>
                <w:sz w:val="24"/>
              </w:rPr>
              <w:t>297.7 (170)</w:t>
            </w:r>
          </w:p>
        </w:tc>
        <w:tc>
          <w:tcPr>
            <w:tcW w:w="3117" w:type="dxa"/>
          </w:tcPr>
          <w:p w14:paraId="152D4AF5" w14:textId="6D8B43D3" w:rsidR="00284B33" w:rsidRDefault="00006671" w:rsidP="00A22DC0">
            <w:pPr>
              <w:jc w:val="both"/>
              <w:rPr>
                <w:sz w:val="24"/>
              </w:rPr>
            </w:pPr>
            <w:r>
              <w:rPr>
                <w:sz w:val="24"/>
              </w:rPr>
              <w:t>0.99 (0.21)</w:t>
            </w:r>
          </w:p>
        </w:tc>
      </w:tr>
      <w:tr w:rsidR="00284B33" w14:paraId="7B3E08B9" w14:textId="77777777" w:rsidTr="00284B33">
        <w:tc>
          <w:tcPr>
            <w:tcW w:w="3116" w:type="dxa"/>
          </w:tcPr>
          <w:p w14:paraId="7E1EE406" w14:textId="797BC13E" w:rsidR="00284B33" w:rsidRPr="00284B33" w:rsidRDefault="003A6148" w:rsidP="00A22DC0">
            <w:pPr>
              <w:jc w:val="both"/>
              <w:rPr>
                <w:sz w:val="24"/>
              </w:rPr>
            </w:pPr>
            <w:r>
              <w:rPr>
                <w:sz w:val="24"/>
              </w:rPr>
              <w:t xml:space="preserve">   </w:t>
            </w:r>
            <w:r w:rsidR="00284B33">
              <w:rPr>
                <w:sz w:val="24"/>
              </w:rPr>
              <w:t>Gushegu</w:t>
            </w:r>
          </w:p>
        </w:tc>
        <w:tc>
          <w:tcPr>
            <w:tcW w:w="3117" w:type="dxa"/>
          </w:tcPr>
          <w:p w14:paraId="021EC088" w14:textId="00E2636A" w:rsidR="00284B33" w:rsidRDefault="003A6148" w:rsidP="00A22DC0">
            <w:pPr>
              <w:jc w:val="both"/>
              <w:rPr>
                <w:sz w:val="24"/>
              </w:rPr>
            </w:pPr>
            <w:r>
              <w:rPr>
                <w:sz w:val="24"/>
              </w:rPr>
              <w:t>321.4 (185.8)</w:t>
            </w:r>
          </w:p>
        </w:tc>
        <w:tc>
          <w:tcPr>
            <w:tcW w:w="3117" w:type="dxa"/>
          </w:tcPr>
          <w:p w14:paraId="70CCC8BE" w14:textId="48C72005" w:rsidR="00284B33" w:rsidRDefault="00006671" w:rsidP="00A22DC0">
            <w:pPr>
              <w:jc w:val="both"/>
              <w:rPr>
                <w:sz w:val="24"/>
              </w:rPr>
            </w:pPr>
            <w:r>
              <w:rPr>
                <w:sz w:val="24"/>
              </w:rPr>
              <w:t>0.78 (0.14)</w:t>
            </w:r>
          </w:p>
        </w:tc>
      </w:tr>
      <w:tr w:rsidR="00284B33" w14:paraId="4FE0D38B" w14:textId="77777777" w:rsidTr="00284B33">
        <w:tc>
          <w:tcPr>
            <w:tcW w:w="3116" w:type="dxa"/>
          </w:tcPr>
          <w:p w14:paraId="3495043D" w14:textId="2758044D" w:rsidR="00284B33" w:rsidRPr="00284B33" w:rsidRDefault="003A6148" w:rsidP="00A22DC0">
            <w:pPr>
              <w:jc w:val="both"/>
              <w:rPr>
                <w:sz w:val="24"/>
              </w:rPr>
            </w:pPr>
            <w:r>
              <w:rPr>
                <w:sz w:val="24"/>
              </w:rPr>
              <w:t xml:space="preserve">   </w:t>
            </w:r>
            <w:r w:rsidR="00284B33">
              <w:rPr>
                <w:sz w:val="24"/>
              </w:rPr>
              <w:t>Karaga</w:t>
            </w:r>
          </w:p>
        </w:tc>
        <w:tc>
          <w:tcPr>
            <w:tcW w:w="3117" w:type="dxa"/>
          </w:tcPr>
          <w:p w14:paraId="53D06D6D" w14:textId="751E2108" w:rsidR="00284B33" w:rsidRDefault="003A6148" w:rsidP="00A22DC0">
            <w:pPr>
              <w:jc w:val="both"/>
              <w:rPr>
                <w:sz w:val="24"/>
              </w:rPr>
            </w:pPr>
            <w:r>
              <w:rPr>
                <w:sz w:val="24"/>
              </w:rPr>
              <w:t>438.8 (275.4)</w:t>
            </w:r>
          </w:p>
        </w:tc>
        <w:tc>
          <w:tcPr>
            <w:tcW w:w="3117" w:type="dxa"/>
          </w:tcPr>
          <w:p w14:paraId="7E02E38F" w14:textId="0306A753" w:rsidR="00284B33" w:rsidRDefault="00006671" w:rsidP="00A22DC0">
            <w:pPr>
              <w:jc w:val="both"/>
              <w:rPr>
                <w:sz w:val="24"/>
              </w:rPr>
            </w:pPr>
            <w:r>
              <w:rPr>
                <w:sz w:val="24"/>
              </w:rPr>
              <w:t>0.86 (0.12)</w:t>
            </w:r>
          </w:p>
        </w:tc>
      </w:tr>
      <w:tr w:rsidR="00284B33" w14:paraId="3620AFDD" w14:textId="77777777" w:rsidTr="00284B33">
        <w:tc>
          <w:tcPr>
            <w:tcW w:w="3116" w:type="dxa"/>
          </w:tcPr>
          <w:p w14:paraId="174C0CF7" w14:textId="01CB9406" w:rsidR="00284B33" w:rsidRDefault="003A6148" w:rsidP="00A22DC0">
            <w:pPr>
              <w:jc w:val="both"/>
              <w:rPr>
                <w:sz w:val="24"/>
              </w:rPr>
            </w:pPr>
            <w:r>
              <w:rPr>
                <w:sz w:val="24"/>
              </w:rPr>
              <w:t xml:space="preserve">   </w:t>
            </w:r>
            <w:r w:rsidR="00284B33">
              <w:rPr>
                <w:sz w:val="24"/>
              </w:rPr>
              <w:t>Mamprugumogduri</w:t>
            </w:r>
          </w:p>
        </w:tc>
        <w:tc>
          <w:tcPr>
            <w:tcW w:w="3117" w:type="dxa"/>
          </w:tcPr>
          <w:p w14:paraId="5B9A1501" w14:textId="0E084CAD" w:rsidR="00284B33" w:rsidRDefault="00006671" w:rsidP="00A22DC0">
            <w:pPr>
              <w:jc w:val="both"/>
              <w:rPr>
                <w:sz w:val="24"/>
              </w:rPr>
            </w:pPr>
            <w:r>
              <w:rPr>
                <w:sz w:val="24"/>
              </w:rPr>
              <w:t>372.1 (212.1)</w:t>
            </w:r>
          </w:p>
        </w:tc>
        <w:tc>
          <w:tcPr>
            <w:tcW w:w="3117" w:type="dxa"/>
          </w:tcPr>
          <w:p w14:paraId="4124A6D2" w14:textId="6451D129" w:rsidR="00284B33" w:rsidRDefault="00006671" w:rsidP="00A22DC0">
            <w:pPr>
              <w:jc w:val="both"/>
              <w:rPr>
                <w:sz w:val="24"/>
              </w:rPr>
            </w:pPr>
            <w:r>
              <w:rPr>
                <w:sz w:val="24"/>
              </w:rPr>
              <w:t>0.83 (0.15)</w:t>
            </w:r>
          </w:p>
        </w:tc>
      </w:tr>
      <w:tr w:rsidR="00284B33" w14:paraId="62507526" w14:textId="77777777" w:rsidTr="00284B33">
        <w:tc>
          <w:tcPr>
            <w:tcW w:w="3116" w:type="dxa"/>
          </w:tcPr>
          <w:p w14:paraId="3032D797" w14:textId="18FE50CC" w:rsidR="00284B33" w:rsidRDefault="003A6148" w:rsidP="00A22DC0">
            <w:pPr>
              <w:jc w:val="both"/>
              <w:rPr>
                <w:sz w:val="24"/>
              </w:rPr>
            </w:pPr>
            <w:r>
              <w:rPr>
                <w:sz w:val="24"/>
              </w:rPr>
              <w:t xml:space="preserve">   </w:t>
            </w:r>
            <w:r w:rsidR="00284B33">
              <w:rPr>
                <w:sz w:val="24"/>
              </w:rPr>
              <w:t>Mamprusi East</w:t>
            </w:r>
          </w:p>
        </w:tc>
        <w:tc>
          <w:tcPr>
            <w:tcW w:w="3117" w:type="dxa"/>
          </w:tcPr>
          <w:p w14:paraId="298598C5" w14:textId="54DF56DD" w:rsidR="00284B33" w:rsidRDefault="00006671" w:rsidP="00A22DC0">
            <w:pPr>
              <w:jc w:val="both"/>
              <w:rPr>
                <w:sz w:val="24"/>
              </w:rPr>
            </w:pPr>
            <w:r>
              <w:rPr>
                <w:sz w:val="24"/>
              </w:rPr>
              <w:t>348.3 (230.5)</w:t>
            </w:r>
          </w:p>
        </w:tc>
        <w:tc>
          <w:tcPr>
            <w:tcW w:w="3117" w:type="dxa"/>
          </w:tcPr>
          <w:p w14:paraId="05427A0A" w14:textId="68C6E5CB" w:rsidR="00284B33" w:rsidRDefault="00006671" w:rsidP="00A22DC0">
            <w:pPr>
              <w:jc w:val="both"/>
              <w:rPr>
                <w:sz w:val="24"/>
              </w:rPr>
            </w:pPr>
            <w:r>
              <w:rPr>
                <w:sz w:val="24"/>
              </w:rPr>
              <w:t>0.8 (0.13)</w:t>
            </w:r>
          </w:p>
        </w:tc>
      </w:tr>
      <w:tr w:rsidR="00284B33" w14:paraId="3077C7FA" w14:textId="77777777" w:rsidTr="00C744A2">
        <w:tc>
          <w:tcPr>
            <w:tcW w:w="3116" w:type="dxa"/>
          </w:tcPr>
          <w:p w14:paraId="1928DC6C" w14:textId="408B1F6E" w:rsidR="00284B33" w:rsidRDefault="003A6148" w:rsidP="00A22DC0">
            <w:pPr>
              <w:jc w:val="both"/>
              <w:rPr>
                <w:sz w:val="24"/>
              </w:rPr>
            </w:pPr>
            <w:r>
              <w:rPr>
                <w:sz w:val="24"/>
              </w:rPr>
              <w:t xml:space="preserve">   </w:t>
            </w:r>
            <w:r w:rsidR="00284B33">
              <w:rPr>
                <w:sz w:val="24"/>
              </w:rPr>
              <w:t>Mamprusi West</w:t>
            </w:r>
          </w:p>
        </w:tc>
        <w:tc>
          <w:tcPr>
            <w:tcW w:w="3117" w:type="dxa"/>
          </w:tcPr>
          <w:p w14:paraId="4F9CE9FC" w14:textId="149CDCC8" w:rsidR="00284B33" w:rsidRDefault="00006671" w:rsidP="00A22DC0">
            <w:pPr>
              <w:jc w:val="both"/>
              <w:rPr>
                <w:sz w:val="24"/>
              </w:rPr>
            </w:pPr>
            <w:r>
              <w:rPr>
                <w:sz w:val="24"/>
              </w:rPr>
              <w:t>324.3 (207.6)</w:t>
            </w:r>
          </w:p>
        </w:tc>
        <w:tc>
          <w:tcPr>
            <w:tcW w:w="3117" w:type="dxa"/>
          </w:tcPr>
          <w:p w14:paraId="51C93EB7" w14:textId="03967448" w:rsidR="00284B33" w:rsidRDefault="00006671" w:rsidP="00A22DC0">
            <w:pPr>
              <w:jc w:val="both"/>
              <w:rPr>
                <w:sz w:val="24"/>
              </w:rPr>
            </w:pPr>
            <w:r>
              <w:rPr>
                <w:sz w:val="24"/>
              </w:rPr>
              <w:t>0.89 (0.44)</w:t>
            </w:r>
          </w:p>
        </w:tc>
      </w:tr>
      <w:tr w:rsidR="00284B33" w14:paraId="05C3E51F" w14:textId="77777777" w:rsidTr="00C744A2">
        <w:trPr>
          <w:trHeight w:val="171"/>
        </w:trPr>
        <w:tc>
          <w:tcPr>
            <w:tcW w:w="3116" w:type="dxa"/>
            <w:tcBorders>
              <w:bottom w:val="single" w:sz="4" w:space="0" w:color="auto"/>
            </w:tcBorders>
          </w:tcPr>
          <w:p w14:paraId="30D4C228" w14:textId="64670406" w:rsidR="00284B33" w:rsidRDefault="003A6148" w:rsidP="00A22DC0">
            <w:pPr>
              <w:jc w:val="both"/>
              <w:rPr>
                <w:sz w:val="24"/>
              </w:rPr>
            </w:pPr>
            <w:r>
              <w:rPr>
                <w:sz w:val="24"/>
              </w:rPr>
              <w:t xml:space="preserve">   </w:t>
            </w:r>
            <w:r w:rsidR="00284B33">
              <w:rPr>
                <w:sz w:val="24"/>
              </w:rPr>
              <w:t>Saboba</w:t>
            </w:r>
          </w:p>
        </w:tc>
        <w:tc>
          <w:tcPr>
            <w:tcW w:w="3117" w:type="dxa"/>
            <w:tcBorders>
              <w:bottom w:val="single" w:sz="4" w:space="0" w:color="auto"/>
            </w:tcBorders>
          </w:tcPr>
          <w:p w14:paraId="6D2954EB" w14:textId="712D71BC" w:rsidR="00284B33" w:rsidRDefault="00006671" w:rsidP="00A22DC0">
            <w:pPr>
              <w:jc w:val="both"/>
              <w:rPr>
                <w:sz w:val="24"/>
              </w:rPr>
            </w:pPr>
            <w:r>
              <w:rPr>
                <w:sz w:val="24"/>
              </w:rPr>
              <w:t>285.8 (176.5)</w:t>
            </w:r>
          </w:p>
        </w:tc>
        <w:tc>
          <w:tcPr>
            <w:tcW w:w="3117" w:type="dxa"/>
            <w:tcBorders>
              <w:bottom w:val="single" w:sz="4" w:space="0" w:color="auto"/>
            </w:tcBorders>
          </w:tcPr>
          <w:p w14:paraId="65ABAACA" w14:textId="16C0B8DA" w:rsidR="00284B33" w:rsidRDefault="00006671" w:rsidP="00A22DC0">
            <w:pPr>
              <w:jc w:val="both"/>
              <w:rPr>
                <w:sz w:val="24"/>
              </w:rPr>
            </w:pPr>
            <w:r>
              <w:rPr>
                <w:sz w:val="24"/>
              </w:rPr>
              <w:t>1.03 (0.18)</w:t>
            </w:r>
          </w:p>
        </w:tc>
      </w:tr>
    </w:tbl>
    <w:p w14:paraId="7ADA915C" w14:textId="77777777" w:rsidR="00284B33" w:rsidRDefault="00284B33" w:rsidP="0090513F">
      <w:pPr>
        <w:spacing w:after="0" w:line="240" w:lineRule="auto"/>
        <w:jc w:val="both"/>
        <w:rPr>
          <w:b/>
          <w:sz w:val="24"/>
        </w:rPr>
      </w:pPr>
    </w:p>
    <w:p w14:paraId="1C4FAF02" w14:textId="0BA4C440" w:rsidR="008E018B" w:rsidRDefault="008E018B" w:rsidP="0090513F">
      <w:pPr>
        <w:spacing w:after="0" w:line="240" w:lineRule="auto"/>
        <w:jc w:val="both"/>
        <w:rPr>
          <w:b/>
          <w:sz w:val="24"/>
        </w:rPr>
      </w:pPr>
    </w:p>
    <w:p w14:paraId="4B0975CF" w14:textId="1AC1E110" w:rsidR="00D80D0F" w:rsidRDefault="00D80D0F" w:rsidP="0090513F">
      <w:pPr>
        <w:spacing w:after="0" w:line="240" w:lineRule="auto"/>
        <w:jc w:val="both"/>
        <w:rPr>
          <w:b/>
          <w:sz w:val="24"/>
        </w:rPr>
      </w:pPr>
    </w:p>
    <w:p w14:paraId="1AE3DB50" w14:textId="45C8479F" w:rsidR="00D80D0F" w:rsidRDefault="00D80D0F" w:rsidP="0090513F">
      <w:pPr>
        <w:spacing w:after="0" w:line="240" w:lineRule="auto"/>
        <w:jc w:val="both"/>
        <w:rPr>
          <w:b/>
          <w:sz w:val="24"/>
        </w:rPr>
      </w:pPr>
    </w:p>
    <w:p w14:paraId="2F7082DE" w14:textId="5B748923" w:rsidR="00D80D0F" w:rsidRDefault="00D80D0F" w:rsidP="0090513F">
      <w:pPr>
        <w:spacing w:after="0" w:line="240" w:lineRule="auto"/>
        <w:jc w:val="both"/>
        <w:rPr>
          <w:b/>
          <w:sz w:val="24"/>
        </w:rPr>
      </w:pPr>
    </w:p>
    <w:p w14:paraId="20BDF190" w14:textId="4165AB56" w:rsidR="00D80D0F" w:rsidRDefault="00D80D0F" w:rsidP="0090513F">
      <w:pPr>
        <w:spacing w:after="0" w:line="240" w:lineRule="auto"/>
        <w:jc w:val="both"/>
        <w:rPr>
          <w:b/>
          <w:sz w:val="24"/>
        </w:rPr>
      </w:pPr>
    </w:p>
    <w:p w14:paraId="746ADD34" w14:textId="4F14639B" w:rsidR="00D80D0F" w:rsidRDefault="00D80D0F" w:rsidP="0090513F">
      <w:pPr>
        <w:spacing w:after="0" w:line="240" w:lineRule="auto"/>
        <w:jc w:val="both"/>
        <w:rPr>
          <w:b/>
          <w:sz w:val="24"/>
        </w:rPr>
      </w:pPr>
    </w:p>
    <w:p w14:paraId="5C3DFF4F" w14:textId="67B40210" w:rsidR="00D80D0F" w:rsidRDefault="00D80D0F" w:rsidP="0090513F">
      <w:pPr>
        <w:spacing w:after="0" w:line="240" w:lineRule="auto"/>
        <w:jc w:val="both"/>
        <w:rPr>
          <w:b/>
          <w:sz w:val="24"/>
        </w:rPr>
      </w:pPr>
    </w:p>
    <w:p w14:paraId="7FC00231" w14:textId="004B97B6" w:rsidR="00D80D0F" w:rsidRDefault="00D80D0F" w:rsidP="0090513F">
      <w:pPr>
        <w:spacing w:after="0" w:line="240" w:lineRule="auto"/>
        <w:jc w:val="both"/>
        <w:rPr>
          <w:b/>
          <w:sz w:val="24"/>
        </w:rPr>
      </w:pPr>
    </w:p>
    <w:p w14:paraId="6F07C7B4" w14:textId="77FEE762" w:rsidR="00D80D0F" w:rsidRDefault="00D80D0F" w:rsidP="0090513F">
      <w:pPr>
        <w:spacing w:after="0" w:line="240" w:lineRule="auto"/>
        <w:jc w:val="both"/>
        <w:rPr>
          <w:b/>
          <w:sz w:val="24"/>
        </w:rPr>
      </w:pPr>
    </w:p>
    <w:p w14:paraId="08FF8EE5" w14:textId="2B1F45C9" w:rsidR="00D80D0F" w:rsidRDefault="00D80D0F" w:rsidP="0090513F">
      <w:pPr>
        <w:spacing w:after="0" w:line="240" w:lineRule="auto"/>
        <w:jc w:val="both"/>
        <w:rPr>
          <w:b/>
          <w:sz w:val="24"/>
        </w:rPr>
      </w:pPr>
    </w:p>
    <w:p w14:paraId="69C4F9BF" w14:textId="77777777" w:rsidR="00D80D0F" w:rsidRDefault="00D80D0F" w:rsidP="0090513F">
      <w:pPr>
        <w:spacing w:after="0" w:line="240" w:lineRule="auto"/>
        <w:jc w:val="both"/>
        <w:rPr>
          <w:b/>
          <w:sz w:val="24"/>
        </w:rPr>
      </w:pPr>
    </w:p>
    <w:tbl>
      <w:tblPr>
        <w:tblStyle w:val="TableGrid"/>
        <w:tblW w:w="0" w:type="auto"/>
        <w:tblLook w:val="04A0" w:firstRow="1" w:lastRow="0" w:firstColumn="1" w:lastColumn="0" w:noHBand="0" w:noVBand="1"/>
      </w:tblPr>
      <w:tblGrid>
        <w:gridCol w:w="3060"/>
        <w:gridCol w:w="2610"/>
        <w:gridCol w:w="2430"/>
        <w:gridCol w:w="1250"/>
      </w:tblGrid>
      <w:tr w:rsidR="00796333" w14:paraId="2DFF8A40" w14:textId="77777777" w:rsidTr="00AA7BE3">
        <w:tc>
          <w:tcPr>
            <w:tcW w:w="9350" w:type="dxa"/>
            <w:gridSpan w:val="4"/>
            <w:tcBorders>
              <w:top w:val="nil"/>
              <w:left w:val="nil"/>
              <w:bottom w:val="single" w:sz="4" w:space="0" w:color="auto"/>
              <w:right w:val="nil"/>
            </w:tcBorders>
          </w:tcPr>
          <w:p w14:paraId="2B1DB6EE" w14:textId="6FD6D939" w:rsidR="00796333" w:rsidRPr="00796333" w:rsidRDefault="00796333" w:rsidP="0090513F">
            <w:pPr>
              <w:jc w:val="both"/>
            </w:pPr>
            <w:r w:rsidRPr="00674372">
              <w:rPr>
                <w:sz w:val="24"/>
              </w:rPr>
              <w:lastRenderedPageBreak/>
              <w:t xml:space="preserve">Table 2: Mean t-test comparisons for maize prices across regions. </w:t>
            </w:r>
          </w:p>
        </w:tc>
      </w:tr>
      <w:tr w:rsidR="00DF5703" w14:paraId="703D75C3" w14:textId="77777777" w:rsidTr="00AA7BE3">
        <w:tc>
          <w:tcPr>
            <w:tcW w:w="9350" w:type="dxa"/>
            <w:gridSpan w:val="4"/>
            <w:tcBorders>
              <w:top w:val="nil"/>
              <w:left w:val="nil"/>
              <w:bottom w:val="single" w:sz="4" w:space="0" w:color="auto"/>
              <w:right w:val="nil"/>
            </w:tcBorders>
          </w:tcPr>
          <w:p w14:paraId="63813E3C" w14:textId="6E05B64D" w:rsidR="00DF5703" w:rsidRPr="00674372" w:rsidRDefault="00DF5703" w:rsidP="00DF5703">
            <w:pPr>
              <w:jc w:val="center"/>
              <w:rPr>
                <w:sz w:val="24"/>
              </w:rPr>
            </w:pPr>
            <w:r w:rsidRPr="00674372">
              <w:rPr>
                <w:sz w:val="24"/>
              </w:rPr>
              <w:t>Panel A: Price Variation Across Regions</w:t>
            </w:r>
          </w:p>
        </w:tc>
      </w:tr>
      <w:tr w:rsidR="00796333" w14:paraId="51DFD501" w14:textId="77777777" w:rsidTr="00674372">
        <w:tc>
          <w:tcPr>
            <w:tcW w:w="3060" w:type="dxa"/>
            <w:tcBorders>
              <w:top w:val="single" w:sz="4" w:space="0" w:color="auto"/>
              <w:left w:val="nil"/>
              <w:bottom w:val="single" w:sz="4" w:space="0" w:color="auto"/>
              <w:right w:val="nil"/>
            </w:tcBorders>
          </w:tcPr>
          <w:p w14:paraId="171863D4" w14:textId="6BBEF0C6" w:rsidR="00796333" w:rsidRPr="00674372" w:rsidRDefault="00796333" w:rsidP="0090513F">
            <w:pPr>
              <w:jc w:val="both"/>
              <w:rPr>
                <w:sz w:val="24"/>
              </w:rPr>
            </w:pPr>
            <w:r w:rsidRPr="00674372">
              <w:rPr>
                <w:sz w:val="24"/>
              </w:rPr>
              <w:t>Mean Price Northern Region</w:t>
            </w:r>
          </w:p>
        </w:tc>
        <w:tc>
          <w:tcPr>
            <w:tcW w:w="2610" w:type="dxa"/>
            <w:tcBorders>
              <w:top w:val="single" w:sz="4" w:space="0" w:color="auto"/>
              <w:left w:val="nil"/>
              <w:bottom w:val="single" w:sz="4" w:space="0" w:color="auto"/>
              <w:right w:val="nil"/>
            </w:tcBorders>
          </w:tcPr>
          <w:p w14:paraId="28723C39" w14:textId="1921CF5F" w:rsidR="00796333" w:rsidRPr="00674372" w:rsidRDefault="00796333" w:rsidP="0090513F">
            <w:pPr>
              <w:jc w:val="both"/>
              <w:rPr>
                <w:sz w:val="24"/>
              </w:rPr>
            </w:pPr>
            <w:r w:rsidRPr="00674372">
              <w:rPr>
                <w:sz w:val="24"/>
              </w:rPr>
              <w:t>Mean Price Upper West</w:t>
            </w:r>
          </w:p>
        </w:tc>
        <w:tc>
          <w:tcPr>
            <w:tcW w:w="2430" w:type="dxa"/>
            <w:tcBorders>
              <w:top w:val="single" w:sz="4" w:space="0" w:color="auto"/>
              <w:left w:val="nil"/>
              <w:bottom w:val="single" w:sz="4" w:space="0" w:color="auto"/>
              <w:right w:val="nil"/>
            </w:tcBorders>
          </w:tcPr>
          <w:p w14:paraId="1DBA8C58" w14:textId="0CD23735" w:rsidR="00796333" w:rsidRPr="00674372" w:rsidRDefault="00796333" w:rsidP="0090513F">
            <w:pPr>
              <w:jc w:val="both"/>
              <w:rPr>
                <w:sz w:val="24"/>
              </w:rPr>
            </w:pPr>
            <w:r w:rsidRPr="00674372">
              <w:rPr>
                <w:sz w:val="24"/>
              </w:rPr>
              <w:t>Mean Price Upper East</w:t>
            </w:r>
          </w:p>
        </w:tc>
        <w:tc>
          <w:tcPr>
            <w:tcW w:w="1250" w:type="dxa"/>
            <w:tcBorders>
              <w:top w:val="single" w:sz="4" w:space="0" w:color="auto"/>
              <w:left w:val="nil"/>
              <w:bottom w:val="single" w:sz="4" w:space="0" w:color="auto"/>
              <w:right w:val="nil"/>
            </w:tcBorders>
          </w:tcPr>
          <w:p w14:paraId="18A6CBA9" w14:textId="66440864" w:rsidR="00796333" w:rsidRPr="00674372" w:rsidRDefault="00796333" w:rsidP="0090513F">
            <w:pPr>
              <w:jc w:val="both"/>
              <w:rPr>
                <w:sz w:val="24"/>
              </w:rPr>
            </w:pPr>
            <w:r w:rsidRPr="00674372">
              <w:rPr>
                <w:sz w:val="24"/>
              </w:rPr>
              <w:t>Difference</w:t>
            </w:r>
          </w:p>
        </w:tc>
      </w:tr>
      <w:tr w:rsidR="00796333" w14:paraId="4EEB834B" w14:textId="77777777" w:rsidTr="00674372">
        <w:tc>
          <w:tcPr>
            <w:tcW w:w="3060" w:type="dxa"/>
            <w:tcBorders>
              <w:top w:val="single" w:sz="4" w:space="0" w:color="auto"/>
              <w:left w:val="nil"/>
              <w:bottom w:val="nil"/>
              <w:right w:val="nil"/>
            </w:tcBorders>
          </w:tcPr>
          <w:p w14:paraId="12FB7390" w14:textId="5D00E05A" w:rsidR="00796333" w:rsidRPr="00674372" w:rsidRDefault="00796333" w:rsidP="0090513F">
            <w:pPr>
              <w:jc w:val="both"/>
              <w:rPr>
                <w:sz w:val="24"/>
              </w:rPr>
            </w:pPr>
            <w:r w:rsidRPr="00674372">
              <w:rPr>
                <w:sz w:val="24"/>
              </w:rPr>
              <w:t>0.92</w:t>
            </w:r>
          </w:p>
        </w:tc>
        <w:tc>
          <w:tcPr>
            <w:tcW w:w="2610" w:type="dxa"/>
            <w:tcBorders>
              <w:top w:val="single" w:sz="4" w:space="0" w:color="auto"/>
              <w:left w:val="nil"/>
              <w:bottom w:val="nil"/>
              <w:right w:val="nil"/>
            </w:tcBorders>
          </w:tcPr>
          <w:p w14:paraId="788E959E" w14:textId="3EEB5A37" w:rsidR="00796333" w:rsidRPr="00674372" w:rsidRDefault="00796333" w:rsidP="0090513F">
            <w:pPr>
              <w:jc w:val="both"/>
              <w:rPr>
                <w:sz w:val="24"/>
              </w:rPr>
            </w:pPr>
            <w:r w:rsidRPr="00674372">
              <w:rPr>
                <w:sz w:val="24"/>
              </w:rPr>
              <w:t>1.08</w:t>
            </w:r>
          </w:p>
        </w:tc>
        <w:tc>
          <w:tcPr>
            <w:tcW w:w="2430" w:type="dxa"/>
            <w:tcBorders>
              <w:top w:val="single" w:sz="4" w:space="0" w:color="auto"/>
              <w:left w:val="nil"/>
              <w:bottom w:val="nil"/>
              <w:right w:val="nil"/>
            </w:tcBorders>
          </w:tcPr>
          <w:p w14:paraId="538D19E0" w14:textId="417D2203" w:rsidR="00796333" w:rsidRPr="00674372" w:rsidRDefault="00796333" w:rsidP="0090513F">
            <w:pPr>
              <w:jc w:val="both"/>
              <w:rPr>
                <w:sz w:val="24"/>
              </w:rPr>
            </w:pPr>
          </w:p>
        </w:tc>
        <w:tc>
          <w:tcPr>
            <w:tcW w:w="1250" w:type="dxa"/>
            <w:tcBorders>
              <w:top w:val="single" w:sz="4" w:space="0" w:color="auto"/>
              <w:left w:val="nil"/>
              <w:bottom w:val="nil"/>
              <w:right w:val="nil"/>
            </w:tcBorders>
          </w:tcPr>
          <w:p w14:paraId="672699EA" w14:textId="7ED8AD1E" w:rsidR="00796333" w:rsidRPr="00674372" w:rsidRDefault="00796333" w:rsidP="0090513F">
            <w:pPr>
              <w:jc w:val="both"/>
              <w:rPr>
                <w:sz w:val="24"/>
              </w:rPr>
            </w:pPr>
            <w:r w:rsidRPr="00674372">
              <w:rPr>
                <w:sz w:val="24"/>
              </w:rPr>
              <w:t>0.16***</w:t>
            </w:r>
          </w:p>
        </w:tc>
      </w:tr>
      <w:tr w:rsidR="00796333" w14:paraId="3F8EB0D5" w14:textId="77777777" w:rsidTr="00763CA3">
        <w:tc>
          <w:tcPr>
            <w:tcW w:w="3060" w:type="dxa"/>
            <w:tcBorders>
              <w:top w:val="nil"/>
              <w:left w:val="nil"/>
              <w:bottom w:val="nil"/>
              <w:right w:val="nil"/>
            </w:tcBorders>
          </w:tcPr>
          <w:p w14:paraId="3C18B38E" w14:textId="77777777" w:rsidR="00796333" w:rsidRPr="00674372" w:rsidRDefault="00796333" w:rsidP="0090513F">
            <w:pPr>
              <w:jc w:val="both"/>
              <w:rPr>
                <w:sz w:val="24"/>
              </w:rPr>
            </w:pPr>
          </w:p>
        </w:tc>
        <w:tc>
          <w:tcPr>
            <w:tcW w:w="2610" w:type="dxa"/>
            <w:tcBorders>
              <w:top w:val="nil"/>
              <w:left w:val="nil"/>
              <w:bottom w:val="nil"/>
              <w:right w:val="nil"/>
            </w:tcBorders>
          </w:tcPr>
          <w:p w14:paraId="7F1BC712" w14:textId="4EF2426E" w:rsidR="00796333" w:rsidRPr="00674372" w:rsidRDefault="00796333" w:rsidP="0090513F">
            <w:pPr>
              <w:jc w:val="both"/>
              <w:rPr>
                <w:sz w:val="24"/>
              </w:rPr>
            </w:pPr>
            <w:r w:rsidRPr="00674372">
              <w:rPr>
                <w:sz w:val="24"/>
              </w:rPr>
              <w:t>1.08</w:t>
            </w:r>
          </w:p>
        </w:tc>
        <w:tc>
          <w:tcPr>
            <w:tcW w:w="2430" w:type="dxa"/>
            <w:tcBorders>
              <w:top w:val="nil"/>
              <w:left w:val="nil"/>
              <w:bottom w:val="nil"/>
              <w:right w:val="nil"/>
            </w:tcBorders>
          </w:tcPr>
          <w:p w14:paraId="1AAD2A3A" w14:textId="43591DB3" w:rsidR="00796333" w:rsidRPr="00674372" w:rsidRDefault="00796333" w:rsidP="0090513F">
            <w:pPr>
              <w:jc w:val="both"/>
              <w:rPr>
                <w:sz w:val="24"/>
              </w:rPr>
            </w:pPr>
            <w:r w:rsidRPr="00674372">
              <w:rPr>
                <w:sz w:val="24"/>
              </w:rPr>
              <w:t>1.14</w:t>
            </w:r>
          </w:p>
        </w:tc>
        <w:tc>
          <w:tcPr>
            <w:tcW w:w="1250" w:type="dxa"/>
            <w:tcBorders>
              <w:top w:val="nil"/>
              <w:left w:val="nil"/>
              <w:bottom w:val="nil"/>
              <w:right w:val="nil"/>
            </w:tcBorders>
          </w:tcPr>
          <w:p w14:paraId="0039AC2B" w14:textId="4F2EEB2C" w:rsidR="00796333" w:rsidRPr="00674372" w:rsidRDefault="00796333" w:rsidP="0090513F">
            <w:pPr>
              <w:jc w:val="both"/>
              <w:rPr>
                <w:sz w:val="24"/>
              </w:rPr>
            </w:pPr>
            <w:r w:rsidRPr="00674372">
              <w:rPr>
                <w:sz w:val="24"/>
              </w:rPr>
              <w:t>0.055**</w:t>
            </w:r>
          </w:p>
        </w:tc>
      </w:tr>
      <w:tr w:rsidR="00796333" w14:paraId="12F6F99C" w14:textId="77777777" w:rsidTr="00763CA3">
        <w:tc>
          <w:tcPr>
            <w:tcW w:w="3060" w:type="dxa"/>
            <w:tcBorders>
              <w:top w:val="nil"/>
              <w:left w:val="nil"/>
              <w:bottom w:val="single" w:sz="4" w:space="0" w:color="auto"/>
              <w:right w:val="nil"/>
            </w:tcBorders>
          </w:tcPr>
          <w:p w14:paraId="6022B298" w14:textId="1DE0E089" w:rsidR="00796333" w:rsidRPr="00674372" w:rsidRDefault="00796333" w:rsidP="0090513F">
            <w:pPr>
              <w:jc w:val="both"/>
              <w:rPr>
                <w:sz w:val="24"/>
              </w:rPr>
            </w:pPr>
            <w:r w:rsidRPr="00674372">
              <w:rPr>
                <w:sz w:val="24"/>
              </w:rPr>
              <w:t>0.92</w:t>
            </w:r>
          </w:p>
        </w:tc>
        <w:tc>
          <w:tcPr>
            <w:tcW w:w="2610" w:type="dxa"/>
            <w:tcBorders>
              <w:top w:val="nil"/>
              <w:left w:val="nil"/>
              <w:bottom w:val="single" w:sz="4" w:space="0" w:color="auto"/>
              <w:right w:val="nil"/>
            </w:tcBorders>
          </w:tcPr>
          <w:p w14:paraId="09D86CCF" w14:textId="77777777" w:rsidR="00796333" w:rsidRPr="00674372" w:rsidRDefault="00796333" w:rsidP="0090513F">
            <w:pPr>
              <w:jc w:val="both"/>
              <w:rPr>
                <w:sz w:val="24"/>
              </w:rPr>
            </w:pPr>
          </w:p>
        </w:tc>
        <w:tc>
          <w:tcPr>
            <w:tcW w:w="2430" w:type="dxa"/>
            <w:tcBorders>
              <w:top w:val="nil"/>
              <w:left w:val="nil"/>
              <w:bottom w:val="single" w:sz="4" w:space="0" w:color="auto"/>
              <w:right w:val="nil"/>
            </w:tcBorders>
          </w:tcPr>
          <w:p w14:paraId="2E2A69EE" w14:textId="4CD535B7" w:rsidR="00796333" w:rsidRPr="00674372" w:rsidRDefault="00796333" w:rsidP="0090513F">
            <w:pPr>
              <w:jc w:val="both"/>
              <w:rPr>
                <w:sz w:val="24"/>
              </w:rPr>
            </w:pPr>
            <w:r w:rsidRPr="00674372">
              <w:rPr>
                <w:sz w:val="24"/>
              </w:rPr>
              <w:t>1.14</w:t>
            </w:r>
          </w:p>
        </w:tc>
        <w:tc>
          <w:tcPr>
            <w:tcW w:w="1250" w:type="dxa"/>
            <w:tcBorders>
              <w:top w:val="nil"/>
              <w:left w:val="nil"/>
              <w:bottom w:val="single" w:sz="4" w:space="0" w:color="auto"/>
              <w:right w:val="nil"/>
            </w:tcBorders>
          </w:tcPr>
          <w:p w14:paraId="2C2E9AD7" w14:textId="5F62F955" w:rsidR="00796333" w:rsidRPr="00674372" w:rsidRDefault="00796333" w:rsidP="0090513F">
            <w:pPr>
              <w:jc w:val="both"/>
              <w:rPr>
                <w:sz w:val="24"/>
              </w:rPr>
            </w:pPr>
            <w:r w:rsidRPr="00674372">
              <w:rPr>
                <w:sz w:val="24"/>
              </w:rPr>
              <w:t>0.22***</w:t>
            </w:r>
          </w:p>
        </w:tc>
      </w:tr>
      <w:tr w:rsidR="00DF5703" w14:paraId="47E7B91D" w14:textId="77777777" w:rsidTr="00763CA3">
        <w:tc>
          <w:tcPr>
            <w:tcW w:w="9350" w:type="dxa"/>
            <w:gridSpan w:val="4"/>
            <w:tcBorders>
              <w:top w:val="single" w:sz="4" w:space="0" w:color="auto"/>
              <w:left w:val="nil"/>
              <w:bottom w:val="single" w:sz="4" w:space="0" w:color="auto"/>
              <w:right w:val="nil"/>
            </w:tcBorders>
          </w:tcPr>
          <w:p w14:paraId="325A291B" w14:textId="53B4AE62" w:rsidR="00DF5703" w:rsidRPr="00674372" w:rsidRDefault="00DF5703" w:rsidP="00DF5703">
            <w:pPr>
              <w:jc w:val="center"/>
              <w:rPr>
                <w:sz w:val="24"/>
              </w:rPr>
            </w:pPr>
            <w:r w:rsidRPr="00674372">
              <w:rPr>
                <w:sz w:val="24"/>
              </w:rPr>
              <w:t>Panel B: Price Variation Across Years</w:t>
            </w:r>
          </w:p>
        </w:tc>
      </w:tr>
      <w:tr w:rsidR="00DF5703" w14:paraId="2545C51F" w14:textId="77777777" w:rsidTr="00674372">
        <w:trPr>
          <w:trHeight w:val="248"/>
        </w:trPr>
        <w:tc>
          <w:tcPr>
            <w:tcW w:w="3060" w:type="dxa"/>
            <w:tcBorders>
              <w:top w:val="nil"/>
              <w:left w:val="nil"/>
              <w:right w:val="nil"/>
            </w:tcBorders>
          </w:tcPr>
          <w:p w14:paraId="175D9EA6" w14:textId="025CA3D2" w:rsidR="00DF5703" w:rsidRPr="00674372" w:rsidRDefault="00DF5703" w:rsidP="00DF5703">
            <w:pPr>
              <w:jc w:val="both"/>
              <w:rPr>
                <w:sz w:val="24"/>
              </w:rPr>
            </w:pPr>
            <w:r w:rsidRPr="00674372">
              <w:rPr>
                <w:sz w:val="24"/>
              </w:rPr>
              <w:t>Mean Price 2015</w:t>
            </w:r>
          </w:p>
        </w:tc>
        <w:tc>
          <w:tcPr>
            <w:tcW w:w="2610" w:type="dxa"/>
            <w:tcBorders>
              <w:top w:val="nil"/>
              <w:left w:val="nil"/>
              <w:right w:val="nil"/>
            </w:tcBorders>
          </w:tcPr>
          <w:p w14:paraId="7D9BF954" w14:textId="600E11EB" w:rsidR="00DF5703" w:rsidRPr="00674372" w:rsidRDefault="00DF5703" w:rsidP="00DF5703">
            <w:pPr>
              <w:jc w:val="both"/>
              <w:rPr>
                <w:sz w:val="24"/>
              </w:rPr>
            </w:pPr>
            <w:r w:rsidRPr="00674372">
              <w:rPr>
                <w:sz w:val="24"/>
              </w:rPr>
              <w:t>Mean Price 2016</w:t>
            </w:r>
          </w:p>
        </w:tc>
        <w:tc>
          <w:tcPr>
            <w:tcW w:w="2430" w:type="dxa"/>
            <w:tcBorders>
              <w:top w:val="nil"/>
              <w:left w:val="nil"/>
              <w:right w:val="nil"/>
            </w:tcBorders>
          </w:tcPr>
          <w:p w14:paraId="63B9001A" w14:textId="3D80FD84" w:rsidR="00DF5703" w:rsidRPr="00674372" w:rsidRDefault="00DF5703" w:rsidP="00DF5703">
            <w:pPr>
              <w:jc w:val="both"/>
              <w:rPr>
                <w:sz w:val="24"/>
              </w:rPr>
            </w:pPr>
            <w:r w:rsidRPr="00674372">
              <w:rPr>
                <w:sz w:val="24"/>
              </w:rPr>
              <w:t>Mean Price 2017</w:t>
            </w:r>
          </w:p>
        </w:tc>
        <w:tc>
          <w:tcPr>
            <w:tcW w:w="1250" w:type="dxa"/>
            <w:tcBorders>
              <w:top w:val="nil"/>
              <w:left w:val="nil"/>
              <w:right w:val="nil"/>
            </w:tcBorders>
          </w:tcPr>
          <w:p w14:paraId="0CC96574" w14:textId="4DD396C7" w:rsidR="00DF5703" w:rsidRPr="00674372" w:rsidRDefault="00DF5703" w:rsidP="00DF5703">
            <w:pPr>
              <w:jc w:val="both"/>
              <w:rPr>
                <w:sz w:val="24"/>
              </w:rPr>
            </w:pPr>
            <w:r w:rsidRPr="00674372">
              <w:rPr>
                <w:sz w:val="24"/>
              </w:rPr>
              <w:t>Difference</w:t>
            </w:r>
          </w:p>
        </w:tc>
      </w:tr>
      <w:tr w:rsidR="00DF5703" w14:paraId="222866E4" w14:textId="77777777" w:rsidTr="00674372">
        <w:trPr>
          <w:trHeight w:val="248"/>
        </w:trPr>
        <w:tc>
          <w:tcPr>
            <w:tcW w:w="3060" w:type="dxa"/>
            <w:tcBorders>
              <w:top w:val="nil"/>
              <w:left w:val="nil"/>
              <w:bottom w:val="nil"/>
              <w:right w:val="nil"/>
            </w:tcBorders>
          </w:tcPr>
          <w:p w14:paraId="64F943D6" w14:textId="0840E158" w:rsidR="00DF5703" w:rsidRPr="00674372" w:rsidRDefault="00DF5703" w:rsidP="00DF5703">
            <w:pPr>
              <w:jc w:val="both"/>
              <w:rPr>
                <w:sz w:val="24"/>
              </w:rPr>
            </w:pPr>
            <w:r w:rsidRPr="00674372">
              <w:rPr>
                <w:sz w:val="24"/>
              </w:rPr>
              <w:t>0.97</w:t>
            </w:r>
          </w:p>
        </w:tc>
        <w:tc>
          <w:tcPr>
            <w:tcW w:w="2610" w:type="dxa"/>
            <w:tcBorders>
              <w:top w:val="nil"/>
              <w:left w:val="nil"/>
              <w:bottom w:val="nil"/>
              <w:right w:val="nil"/>
            </w:tcBorders>
          </w:tcPr>
          <w:p w14:paraId="49AC4AD3" w14:textId="00017C98" w:rsidR="00DF5703" w:rsidRPr="00674372" w:rsidRDefault="00DF5703" w:rsidP="00DF5703">
            <w:pPr>
              <w:jc w:val="both"/>
              <w:rPr>
                <w:sz w:val="24"/>
              </w:rPr>
            </w:pPr>
            <w:r w:rsidRPr="00674372">
              <w:rPr>
                <w:sz w:val="24"/>
              </w:rPr>
              <w:t>1.15</w:t>
            </w:r>
          </w:p>
        </w:tc>
        <w:tc>
          <w:tcPr>
            <w:tcW w:w="2430" w:type="dxa"/>
            <w:tcBorders>
              <w:top w:val="nil"/>
              <w:left w:val="nil"/>
              <w:bottom w:val="nil"/>
              <w:right w:val="nil"/>
            </w:tcBorders>
          </w:tcPr>
          <w:p w14:paraId="71BF5192" w14:textId="77777777" w:rsidR="00DF5703" w:rsidRPr="00674372" w:rsidRDefault="00DF5703" w:rsidP="00DF5703">
            <w:pPr>
              <w:jc w:val="both"/>
              <w:rPr>
                <w:sz w:val="24"/>
              </w:rPr>
            </w:pPr>
          </w:p>
        </w:tc>
        <w:tc>
          <w:tcPr>
            <w:tcW w:w="1250" w:type="dxa"/>
            <w:tcBorders>
              <w:top w:val="nil"/>
              <w:left w:val="nil"/>
              <w:bottom w:val="nil"/>
              <w:right w:val="nil"/>
            </w:tcBorders>
          </w:tcPr>
          <w:p w14:paraId="53A954D6" w14:textId="4278076B" w:rsidR="00DF5703" w:rsidRPr="00674372" w:rsidRDefault="00DF5703" w:rsidP="00DF5703">
            <w:pPr>
              <w:jc w:val="both"/>
              <w:rPr>
                <w:sz w:val="24"/>
              </w:rPr>
            </w:pPr>
            <w:r w:rsidRPr="00674372">
              <w:rPr>
                <w:sz w:val="24"/>
              </w:rPr>
              <w:t>0.18***</w:t>
            </w:r>
          </w:p>
        </w:tc>
      </w:tr>
      <w:tr w:rsidR="00DF5703" w14:paraId="4FB71561" w14:textId="77777777" w:rsidTr="00674372">
        <w:trPr>
          <w:trHeight w:val="247"/>
        </w:trPr>
        <w:tc>
          <w:tcPr>
            <w:tcW w:w="3060" w:type="dxa"/>
            <w:tcBorders>
              <w:top w:val="nil"/>
              <w:left w:val="nil"/>
              <w:bottom w:val="nil"/>
              <w:right w:val="nil"/>
            </w:tcBorders>
          </w:tcPr>
          <w:p w14:paraId="0E44068D" w14:textId="77777777" w:rsidR="00DF5703" w:rsidRPr="00674372" w:rsidRDefault="00DF5703" w:rsidP="00DF5703">
            <w:pPr>
              <w:jc w:val="both"/>
              <w:rPr>
                <w:sz w:val="24"/>
              </w:rPr>
            </w:pPr>
          </w:p>
        </w:tc>
        <w:tc>
          <w:tcPr>
            <w:tcW w:w="2610" w:type="dxa"/>
            <w:tcBorders>
              <w:top w:val="nil"/>
              <w:left w:val="nil"/>
              <w:bottom w:val="nil"/>
              <w:right w:val="nil"/>
            </w:tcBorders>
          </w:tcPr>
          <w:p w14:paraId="62BBFBE1" w14:textId="7BB46A99" w:rsidR="00DF5703" w:rsidRPr="00674372" w:rsidRDefault="00DF5703" w:rsidP="00DF5703">
            <w:pPr>
              <w:jc w:val="both"/>
              <w:rPr>
                <w:sz w:val="24"/>
              </w:rPr>
            </w:pPr>
            <w:r w:rsidRPr="00674372">
              <w:rPr>
                <w:sz w:val="24"/>
              </w:rPr>
              <w:t>1.15</w:t>
            </w:r>
          </w:p>
        </w:tc>
        <w:tc>
          <w:tcPr>
            <w:tcW w:w="2430" w:type="dxa"/>
            <w:tcBorders>
              <w:top w:val="nil"/>
              <w:left w:val="nil"/>
              <w:bottom w:val="nil"/>
              <w:right w:val="nil"/>
            </w:tcBorders>
          </w:tcPr>
          <w:p w14:paraId="60BACA77" w14:textId="74EB55D8" w:rsidR="00DF5703" w:rsidRPr="00674372" w:rsidRDefault="00DF5703" w:rsidP="00DF5703">
            <w:pPr>
              <w:jc w:val="both"/>
              <w:rPr>
                <w:sz w:val="24"/>
              </w:rPr>
            </w:pPr>
            <w:r w:rsidRPr="00674372">
              <w:rPr>
                <w:sz w:val="24"/>
              </w:rPr>
              <w:t>1.02</w:t>
            </w:r>
          </w:p>
        </w:tc>
        <w:tc>
          <w:tcPr>
            <w:tcW w:w="1250" w:type="dxa"/>
            <w:tcBorders>
              <w:top w:val="nil"/>
              <w:left w:val="nil"/>
              <w:bottom w:val="nil"/>
              <w:right w:val="nil"/>
            </w:tcBorders>
          </w:tcPr>
          <w:p w14:paraId="2EDF8326" w14:textId="5CD7E221" w:rsidR="00DF5703" w:rsidRPr="00674372" w:rsidRDefault="00DF5703" w:rsidP="00DF5703">
            <w:pPr>
              <w:jc w:val="both"/>
              <w:rPr>
                <w:sz w:val="24"/>
              </w:rPr>
            </w:pPr>
            <w:r w:rsidRPr="00674372">
              <w:rPr>
                <w:sz w:val="24"/>
              </w:rPr>
              <w:t>0.13**</w:t>
            </w:r>
          </w:p>
        </w:tc>
      </w:tr>
      <w:tr w:rsidR="00DF5703" w14:paraId="749E5AC6" w14:textId="77777777" w:rsidTr="00674372">
        <w:trPr>
          <w:trHeight w:val="247"/>
        </w:trPr>
        <w:tc>
          <w:tcPr>
            <w:tcW w:w="3060" w:type="dxa"/>
            <w:tcBorders>
              <w:top w:val="nil"/>
              <w:left w:val="nil"/>
              <w:right w:val="nil"/>
            </w:tcBorders>
          </w:tcPr>
          <w:p w14:paraId="3BC87571" w14:textId="4F62B9C1" w:rsidR="00DF5703" w:rsidRPr="00674372" w:rsidRDefault="00DF5703" w:rsidP="00DF5703">
            <w:pPr>
              <w:jc w:val="both"/>
              <w:rPr>
                <w:sz w:val="24"/>
              </w:rPr>
            </w:pPr>
            <w:r w:rsidRPr="00674372">
              <w:rPr>
                <w:sz w:val="24"/>
              </w:rPr>
              <w:t>0.97</w:t>
            </w:r>
          </w:p>
        </w:tc>
        <w:tc>
          <w:tcPr>
            <w:tcW w:w="2610" w:type="dxa"/>
            <w:tcBorders>
              <w:top w:val="nil"/>
              <w:left w:val="nil"/>
              <w:right w:val="nil"/>
            </w:tcBorders>
          </w:tcPr>
          <w:p w14:paraId="144E4193" w14:textId="77777777" w:rsidR="00DF5703" w:rsidRPr="00674372" w:rsidRDefault="00DF5703" w:rsidP="00DF5703">
            <w:pPr>
              <w:jc w:val="both"/>
              <w:rPr>
                <w:sz w:val="24"/>
              </w:rPr>
            </w:pPr>
          </w:p>
        </w:tc>
        <w:tc>
          <w:tcPr>
            <w:tcW w:w="2430" w:type="dxa"/>
            <w:tcBorders>
              <w:top w:val="nil"/>
              <w:left w:val="nil"/>
              <w:right w:val="nil"/>
            </w:tcBorders>
          </w:tcPr>
          <w:p w14:paraId="19366FDC" w14:textId="6F74A304" w:rsidR="00DF5703" w:rsidRPr="00674372" w:rsidRDefault="00DF5703" w:rsidP="00DF5703">
            <w:pPr>
              <w:jc w:val="both"/>
              <w:rPr>
                <w:sz w:val="24"/>
              </w:rPr>
            </w:pPr>
            <w:r w:rsidRPr="00674372">
              <w:rPr>
                <w:sz w:val="24"/>
              </w:rPr>
              <w:t>1.02</w:t>
            </w:r>
          </w:p>
        </w:tc>
        <w:tc>
          <w:tcPr>
            <w:tcW w:w="1250" w:type="dxa"/>
            <w:tcBorders>
              <w:top w:val="nil"/>
              <w:left w:val="nil"/>
              <w:right w:val="nil"/>
            </w:tcBorders>
          </w:tcPr>
          <w:p w14:paraId="3DBC1C81" w14:textId="6952EDBA" w:rsidR="00DF5703" w:rsidRPr="00674372" w:rsidRDefault="00DF5703" w:rsidP="00DF5703">
            <w:pPr>
              <w:jc w:val="both"/>
              <w:rPr>
                <w:sz w:val="24"/>
              </w:rPr>
            </w:pPr>
            <w:r w:rsidRPr="00674372">
              <w:rPr>
                <w:sz w:val="24"/>
              </w:rPr>
              <w:t>0.06***</w:t>
            </w:r>
          </w:p>
        </w:tc>
      </w:tr>
      <w:tr w:rsidR="00DF5703" w14:paraId="75B978F1" w14:textId="77777777" w:rsidTr="00796333">
        <w:tc>
          <w:tcPr>
            <w:tcW w:w="9350" w:type="dxa"/>
            <w:gridSpan w:val="4"/>
            <w:tcBorders>
              <w:top w:val="single" w:sz="4" w:space="0" w:color="auto"/>
              <w:left w:val="nil"/>
              <w:bottom w:val="nil"/>
              <w:right w:val="nil"/>
            </w:tcBorders>
          </w:tcPr>
          <w:p w14:paraId="79881C7A" w14:textId="6F8F1DF7" w:rsidR="00DF5703" w:rsidRPr="00674372" w:rsidRDefault="00DF5703" w:rsidP="00DF5703">
            <w:pPr>
              <w:jc w:val="both"/>
              <w:rPr>
                <w:sz w:val="24"/>
              </w:rPr>
            </w:pPr>
            <w:r w:rsidRPr="00674372">
              <w:rPr>
                <w:rFonts w:cstheme="minorHAnsi"/>
                <w:sz w:val="24"/>
                <w:szCs w:val="24"/>
              </w:rPr>
              <w:t>Notes:  p&lt;0.1 *, p&lt;0.05 **, p&lt;0.01 ***</w:t>
            </w:r>
          </w:p>
        </w:tc>
      </w:tr>
    </w:tbl>
    <w:p w14:paraId="4D75D52B" w14:textId="77777777" w:rsidR="00D80D0F" w:rsidRDefault="00D80D0F" w:rsidP="00674372">
      <w:pPr>
        <w:spacing w:after="0" w:line="240" w:lineRule="auto"/>
        <w:jc w:val="both"/>
        <w:rPr>
          <w:sz w:val="24"/>
        </w:rPr>
      </w:pPr>
    </w:p>
    <w:p w14:paraId="1DE5D637" w14:textId="77777777" w:rsidR="00D80D0F" w:rsidRDefault="00D80D0F" w:rsidP="00674372">
      <w:pPr>
        <w:spacing w:after="0" w:line="240" w:lineRule="auto"/>
        <w:jc w:val="both"/>
        <w:rPr>
          <w:sz w:val="24"/>
        </w:rPr>
      </w:pPr>
    </w:p>
    <w:p w14:paraId="4E5A5E62" w14:textId="1166555F" w:rsidR="00006671" w:rsidRPr="00DF5703" w:rsidRDefault="00DF5703" w:rsidP="00674372">
      <w:pPr>
        <w:spacing w:after="0" w:line="240" w:lineRule="auto"/>
        <w:jc w:val="both"/>
        <w:rPr>
          <w:sz w:val="24"/>
        </w:rPr>
      </w:pPr>
      <w:r>
        <w:rPr>
          <w:sz w:val="24"/>
        </w:rPr>
        <w:t xml:space="preserve">In our model, we assumed that price and yields varied independently. However, in markets that </w:t>
      </w:r>
      <w:r w:rsidR="00674372">
        <w:rPr>
          <w:sz w:val="24"/>
        </w:rPr>
        <w:t>are, to some extent, isolated</w:t>
      </w:r>
      <w:r>
        <w:rPr>
          <w:sz w:val="24"/>
        </w:rPr>
        <w:t xml:space="preserve"> from national or international markets, area yields and area price</w:t>
      </w:r>
      <w:r w:rsidR="00674372">
        <w:rPr>
          <w:sz w:val="24"/>
        </w:rPr>
        <w:t>s</w:t>
      </w:r>
      <w:r>
        <w:rPr>
          <w:sz w:val="24"/>
        </w:rPr>
        <w:t xml:space="preserve"> may be negatively correlated. If they are indeed negatively correlated, these price variations may actually serve as a form of insurance,</w:t>
      </w:r>
      <w:r w:rsidR="00C34280">
        <w:rPr>
          <w:sz w:val="24"/>
        </w:rPr>
        <w:t xml:space="preserve"> compensating farmers for yield shocks with increased prices. Such a negative correlation would further reduce the benefit of a </w:t>
      </w:r>
      <w:r w:rsidR="00763CA3">
        <w:rPr>
          <w:sz w:val="24"/>
        </w:rPr>
        <w:t>yield-based</w:t>
      </w:r>
      <w:r w:rsidR="00C34280">
        <w:rPr>
          <w:sz w:val="24"/>
        </w:rPr>
        <w:t xml:space="preserve"> insurance policy and emphasize the need for a policy tha</w:t>
      </w:r>
      <w:r w:rsidR="009568EF">
        <w:rPr>
          <w:sz w:val="24"/>
        </w:rPr>
        <w:t>t combines yield and price indic</w:t>
      </w:r>
      <w:r w:rsidR="00C34280">
        <w:rPr>
          <w:sz w:val="24"/>
        </w:rPr>
        <w:t xml:space="preserve">es. To investigate this, we generated community-year average maize yields and prices and regressed prices on yields as well as region fixed effects; we present our results in Table 3. We find a negative relationship between yields and prices significant at the 1% level which suggests that there is a negative correlation between yields and prices in these markets. </w:t>
      </w:r>
      <w:r w:rsidR="00674372">
        <w:rPr>
          <w:sz w:val="24"/>
        </w:rPr>
        <w:t>This implicit insurance via price variations may provide an additional reason to explain relatively low demand for index insurance policies to date and illustrates the importance of capturing price variation in future index insurance policies. However, the magnitude of the relationship is only 0.02 Ghana cedis, which is somewhat small which may suggest that this price insurance mechanism is only provides farmers with a limited amount of implicit insurance.</w:t>
      </w:r>
    </w:p>
    <w:p w14:paraId="571DDFBE" w14:textId="77777777" w:rsidR="00DF5703" w:rsidRPr="008E018B" w:rsidRDefault="00DF5703" w:rsidP="0090513F">
      <w:pPr>
        <w:spacing w:after="0" w:line="240" w:lineRule="auto"/>
        <w:jc w:val="both"/>
        <w:rPr>
          <w:b/>
          <w:sz w:val="28"/>
        </w:rPr>
      </w:pPr>
    </w:p>
    <w:tbl>
      <w:tblPr>
        <w:tblpPr w:leftFromText="180" w:rightFromText="180" w:vertAnchor="text" w:tblpY="1"/>
        <w:tblOverlap w:val="never"/>
        <w:tblW w:w="5580" w:type="dxa"/>
        <w:tblLook w:val="04A0" w:firstRow="1" w:lastRow="0" w:firstColumn="1" w:lastColumn="0" w:noHBand="0" w:noVBand="1"/>
      </w:tblPr>
      <w:tblGrid>
        <w:gridCol w:w="3150"/>
        <w:gridCol w:w="2430"/>
      </w:tblGrid>
      <w:tr w:rsidR="008E018B" w:rsidRPr="00DF5703" w14:paraId="6B451A05" w14:textId="77777777" w:rsidTr="00674372">
        <w:tc>
          <w:tcPr>
            <w:tcW w:w="5580" w:type="dxa"/>
            <w:gridSpan w:val="2"/>
            <w:tcBorders>
              <w:left w:val="nil"/>
              <w:bottom w:val="single" w:sz="4" w:space="0" w:color="auto"/>
              <w:right w:val="nil"/>
            </w:tcBorders>
          </w:tcPr>
          <w:p w14:paraId="7FE40FF5" w14:textId="792E6A82" w:rsidR="008E018B" w:rsidRPr="00DF5703" w:rsidRDefault="00C34280" w:rsidP="008E018B">
            <w:pPr>
              <w:spacing w:after="0" w:line="240" w:lineRule="auto"/>
              <w:rPr>
                <w:rFonts w:cstheme="minorHAnsi"/>
                <w:sz w:val="24"/>
                <w:szCs w:val="24"/>
              </w:rPr>
            </w:pPr>
            <w:r>
              <w:rPr>
                <w:rFonts w:cstheme="minorHAnsi"/>
                <w:sz w:val="24"/>
                <w:szCs w:val="24"/>
              </w:rPr>
              <w:t>Table 3</w:t>
            </w:r>
            <w:r w:rsidR="008E018B" w:rsidRPr="00DF5703">
              <w:rPr>
                <w:rFonts w:cstheme="minorHAnsi"/>
                <w:sz w:val="24"/>
                <w:szCs w:val="24"/>
              </w:rPr>
              <w:t>: Correlation between Yield and Price</w:t>
            </w:r>
          </w:p>
        </w:tc>
      </w:tr>
      <w:tr w:rsidR="008E018B" w:rsidRPr="000B7C17" w14:paraId="5B5D6B2C" w14:textId="77777777" w:rsidTr="00C34280">
        <w:tc>
          <w:tcPr>
            <w:tcW w:w="3150" w:type="dxa"/>
            <w:tcBorders>
              <w:top w:val="single" w:sz="4" w:space="0" w:color="auto"/>
              <w:left w:val="nil"/>
              <w:bottom w:val="single" w:sz="4" w:space="0" w:color="auto"/>
              <w:right w:val="nil"/>
            </w:tcBorders>
            <w:hideMark/>
          </w:tcPr>
          <w:p w14:paraId="743C9EEA" w14:textId="77777777" w:rsidR="008E018B" w:rsidRPr="008E018B" w:rsidRDefault="008E018B" w:rsidP="008E018B">
            <w:pPr>
              <w:spacing w:after="0" w:line="240" w:lineRule="auto"/>
              <w:rPr>
                <w:rFonts w:cstheme="minorHAnsi"/>
                <w:sz w:val="24"/>
                <w:szCs w:val="24"/>
              </w:rPr>
            </w:pPr>
            <w:r w:rsidRPr="008E018B">
              <w:rPr>
                <w:rFonts w:cstheme="minorHAnsi"/>
                <w:sz w:val="24"/>
                <w:szCs w:val="24"/>
              </w:rPr>
              <w:t>Variables</w:t>
            </w:r>
          </w:p>
        </w:tc>
        <w:tc>
          <w:tcPr>
            <w:tcW w:w="2430" w:type="dxa"/>
            <w:tcBorders>
              <w:top w:val="single" w:sz="4" w:space="0" w:color="auto"/>
              <w:left w:val="nil"/>
              <w:bottom w:val="single" w:sz="4" w:space="0" w:color="auto"/>
              <w:right w:val="nil"/>
            </w:tcBorders>
            <w:hideMark/>
          </w:tcPr>
          <w:p w14:paraId="04E49DA5" w14:textId="5494AD3C" w:rsidR="008E018B" w:rsidRPr="008E018B" w:rsidRDefault="008E018B" w:rsidP="008E018B">
            <w:pPr>
              <w:spacing w:after="0" w:line="240" w:lineRule="auto"/>
              <w:jc w:val="center"/>
              <w:rPr>
                <w:rFonts w:cstheme="minorHAnsi"/>
                <w:sz w:val="24"/>
                <w:szCs w:val="24"/>
              </w:rPr>
            </w:pPr>
            <w:r w:rsidRPr="008E018B">
              <w:rPr>
                <w:rFonts w:cstheme="minorHAnsi"/>
                <w:sz w:val="24"/>
                <w:szCs w:val="24"/>
              </w:rPr>
              <w:t>Maize Price per KG</w:t>
            </w:r>
          </w:p>
        </w:tc>
      </w:tr>
      <w:tr w:rsidR="008E018B" w:rsidRPr="000B7C17" w14:paraId="62E8A7CB" w14:textId="77777777" w:rsidTr="00C34280">
        <w:tc>
          <w:tcPr>
            <w:tcW w:w="3150" w:type="dxa"/>
            <w:tcBorders>
              <w:top w:val="single" w:sz="4" w:space="0" w:color="auto"/>
            </w:tcBorders>
            <w:hideMark/>
          </w:tcPr>
          <w:p w14:paraId="29E56881" w14:textId="6C1F725D" w:rsidR="008E018B" w:rsidRPr="008E018B" w:rsidRDefault="008E018B" w:rsidP="008E018B">
            <w:pPr>
              <w:spacing w:after="0" w:line="240" w:lineRule="auto"/>
              <w:rPr>
                <w:rFonts w:cstheme="minorHAnsi"/>
                <w:sz w:val="24"/>
                <w:szCs w:val="24"/>
              </w:rPr>
            </w:pPr>
            <w:r>
              <w:rPr>
                <w:rFonts w:cstheme="minorHAnsi"/>
                <w:sz w:val="24"/>
                <w:szCs w:val="24"/>
              </w:rPr>
              <w:t>Maize Yield (100KG)</w:t>
            </w:r>
          </w:p>
        </w:tc>
        <w:tc>
          <w:tcPr>
            <w:tcW w:w="2430" w:type="dxa"/>
            <w:tcBorders>
              <w:top w:val="single" w:sz="4" w:space="0" w:color="auto"/>
            </w:tcBorders>
            <w:hideMark/>
          </w:tcPr>
          <w:p w14:paraId="60E6D775" w14:textId="37DD87C2" w:rsidR="008E018B" w:rsidRPr="008E018B" w:rsidRDefault="00674372" w:rsidP="008E018B">
            <w:pPr>
              <w:widowControl w:val="0"/>
              <w:autoSpaceDE w:val="0"/>
              <w:autoSpaceDN w:val="0"/>
              <w:adjustRightInd w:val="0"/>
              <w:spacing w:after="0" w:line="240" w:lineRule="auto"/>
              <w:jc w:val="center"/>
              <w:rPr>
                <w:rFonts w:cstheme="minorHAnsi"/>
                <w:sz w:val="24"/>
                <w:szCs w:val="24"/>
              </w:rPr>
            </w:pPr>
            <w:r>
              <w:rPr>
                <w:rFonts w:cstheme="minorHAnsi"/>
                <w:sz w:val="24"/>
                <w:szCs w:val="24"/>
              </w:rPr>
              <w:t>-0.02</w:t>
            </w:r>
            <w:r w:rsidR="008E018B" w:rsidRPr="008E018B">
              <w:rPr>
                <w:rFonts w:cstheme="minorHAnsi"/>
                <w:sz w:val="24"/>
                <w:szCs w:val="24"/>
              </w:rPr>
              <w:t>**</w:t>
            </w:r>
            <w:r w:rsidR="008E018B">
              <w:rPr>
                <w:rFonts w:cstheme="minorHAnsi"/>
                <w:sz w:val="24"/>
                <w:szCs w:val="24"/>
              </w:rPr>
              <w:t>*</w:t>
            </w:r>
          </w:p>
        </w:tc>
      </w:tr>
      <w:tr w:rsidR="008E018B" w:rsidRPr="000B7C17" w14:paraId="2A6B1258" w14:textId="77777777" w:rsidTr="008E018B">
        <w:tc>
          <w:tcPr>
            <w:tcW w:w="3150" w:type="dxa"/>
            <w:tcBorders>
              <w:bottom w:val="single" w:sz="4" w:space="0" w:color="auto"/>
            </w:tcBorders>
          </w:tcPr>
          <w:p w14:paraId="7C7E291B" w14:textId="77777777" w:rsidR="008E018B" w:rsidRPr="008E018B" w:rsidRDefault="008E018B" w:rsidP="008E018B">
            <w:pPr>
              <w:spacing w:after="0" w:line="240" w:lineRule="auto"/>
              <w:rPr>
                <w:rFonts w:cstheme="minorHAnsi"/>
                <w:sz w:val="24"/>
                <w:szCs w:val="24"/>
              </w:rPr>
            </w:pPr>
            <w:r w:rsidRPr="008E018B">
              <w:rPr>
                <w:rFonts w:cstheme="minorHAnsi"/>
                <w:sz w:val="24"/>
                <w:szCs w:val="24"/>
              </w:rPr>
              <w:t>Constant</w:t>
            </w:r>
          </w:p>
        </w:tc>
        <w:tc>
          <w:tcPr>
            <w:tcW w:w="2430" w:type="dxa"/>
            <w:tcBorders>
              <w:bottom w:val="single" w:sz="4" w:space="0" w:color="auto"/>
            </w:tcBorders>
          </w:tcPr>
          <w:p w14:paraId="0EFBE3D4" w14:textId="26B069B2" w:rsidR="008E018B" w:rsidRPr="008E018B" w:rsidRDefault="008E018B" w:rsidP="008E018B">
            <w:pPr>
              <w:widowControl w:val="0"/>
              <w:autoSpaceDE w:val="0"/>
              <w:autoSpaceDN w:val="0"/>
              <w:adjustRightInd w:val="0"/>
              <w:spacing w:after="0" w:line="240" w:lineRule="auto"/>
              <w:jc w:val="center"/>
              <w:rPr>
                <w:rFonts w:cstheme="minorHAnsi"/>
                <w:sz w:val="24"/>
                <w:szCs w:val="24"/>
              </w:rPr>
            </w:pPr>
            <w:r>
              <w:rPr>
                <w:rFonts w:cstheme="minorHAnsi"/>
                <w:sz w:val="24"/>
                <w:szCs w:val="24"/>
              </w:rPr>
              <w:t>0.98</w:t>
            </w:r>
            <w:r w:rsidRPr="008E018B">
              <w:rPr>
                <w:rFonts w:cstheme="minorHAnsi"/>
                <w:sz w:val="24"/>
                <w:szCs w:val="24"/>
              </w:rPr>
              <w:t>***</w:t>
            </w:r>
          </w:p>
        </w:tc>
      </w:tr>
      <w:tr w:rsidR="008E018B" w:rsidRPr="000B7C17" w14:paraId="2189C9AB" w14:textId="77777777" w:rsidTr="008E018B">
        <w:trPr>
          <w:trHeight w:val="187"/>
        </w:trPr>
        <w:tc>
          <w:tcPr>
            <w:tcW w:w="3150" w:type="dxa"/>
            <w:tcBorders>
              <w:top w:val="single" w:sz="4" w:space="0" w:color="auto"/>
            </w:tcBorders>
            <w:hideMark/>
          </w:tcPr>
          <w:p w14:paraId="68AB8F03" w14:textId="2C393138" w:rsidR="008E018B" w:rsidRPr="008E018B" w:rsidRDefault="008E018B" w:rsidP="008E018B">
            <w:pPr>
              <w:spacing w:after="0" w:line="240" w:lineRule="auto"/>
              <w:rPr>
                <w:rFonts w:cstheme="minorHAnsi"/>
                <w:sz w:val="24"/>
                <w:szCs w:val="24"/>
              </w:rPr>
            </w:pPr>
            <w:r>
              <w:rPr>
                <w:rFonts w:cstheme="minorHAnsi"/>
                <w:sz w:val="24"/>
                <w:szCs w:val="24"/>
              </w:rPr>
              <w:t>Region</w:t>
            </w:r>
            <w:r w:rsidR="00A227BC">
              <w:rPr>
                <w:rFonts w:cstheme="minorHAnsi"/>
                <w:sz w:val="24"/>
                <w:szCs w:val="24"/>
              </w:rPr>
              <w:t>al</w:t>
            </w:r>
            <w:r w:rsidRPr="008E018B">
              <w:rPr>
                <w:rFonts w:cstheme="minorHAnsi"/>
                <w:sz w:val="24"/>
                <w:szCs w:val="24"/>
              </w:rPr>
              <w:t xml:space="preserve"> Fixed Effects</w:t>
            </w:r>
          </w:p>
        </w:tc>
        <w:tc>
          <w:tcPr>
            <w:tcW w:w="2430" w:type="dxa"/>
            <w:tcBorders>
              <w:top w:val="single" w:sz="4" w:space="0" w:color="auto"/>
            </w:tcBorders>
            <w:hideMark/>
          </w:tcPr>
          <w:p w14:paraId="189A4627" w14:textId="77777777" w:rsidR="008E018B" w:rsidRPr="008E018B" w:rsidRDefault="008E018B" w:rsidP="008E018B">
            <w:pPr>
              <w:spacing w:after="0" w:line="240" w:lineRule="auto"/>
              <w:jc w:val="center"/>
              <w:rPr>
                <w:rFonts w:cstheme="minorHAnsi"/>
                <w:sz w:val="24"/>
                <w:szCs w:val="24"/>
              </w:rPr>
            </w:pPr>
            <w:r w:rsidRPr="008E018B">
              <w:rPr>
                <w:rFonts w:cstheme="minorHAnsi"/>
                <w:sz w:val="24"/>
                <w:szCs w:val="24"/>
              </w:rPr>
              <w:t>YES</w:t>
            </w:r>
          </w:p>
        </w:tc>
      </w:tr>
      <w:tr w:rsidR="008E018B" w:rsidRPr="000B7C17" w14:paraId="76F73C84" w14:textId="77777777" w:rsidTr="008E018B">
        <w:trPr>
          <w:trHeight w:val="87"/>
        </w:trPr>
        <w:tc>
          <w:tcPr>
            <w:tcW w:w="3150" w:type="dxa"/>
          </w:tcPr>
          <w:p w14:paraId="0992AF43" w14:textId="4AE6DB86" w:rsidR="008E018B" w:rsidRPr="008E018B" w:rsidRDefault="007D547A" w:rsidP="008E018B">
            <w:pPr>
              <w:spacing w:after="0" w:line="240" w:lineRule="auto"/>
              <w:rPr>
                <w:rFonts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2</m:t>
                  </m:r>
                </m:sup>
              </m:sSup>
            </m:oMath>
            <w:r w:rsidR="008E018B" w:rsidRPr="008E018B">
              <w:rPr>
                <w:rFonts w:cstheme="minorHAnsi"/>
                <w:sz w:val="24"/>
                <w:szCs w:val="24"/>
              </w:rPr>
              <w:t xml:space="preserve"> </w:t>
            </w:r>
          </w:p>
        </w:tc>
        <w:tc>
          <w:tcPr>
            <w:tcW w:w="2430" w:type="dxa"/>
          </w:tcPr>
          <w:p w14:paraId="5B5A5071" w14:textId="22C2B22D" w:rsidR="008E018B" w:rsidRPr="008E018B" w:rsidRDefault="008E018B" w:rsidP="008E018B">
            <w:pPr>
              <w:spacing w:after="0" w:line="240" w:lineRule="auto"/>
              <w:jc w:val="center"/>
              <w:rPr>
                <w:rFonts w:cstheme="minorHAnsi"/>
                <w:sz w:val="24"/>
                <w:szCs w:val="24"/>
              </w:rPr>
            </w:pPr>
            <w:r>
              <w:rPr>
                <w:rFonts w:cstheme="minorHAnsi"/>
                <w:sz w:val="24"/>
                <w:szCs w:val="24"/>
              </w:rPr>
              <w:t>0.2</w:t>
            </w:r>
          </w:p>
        </w:tc>
      </w:tr>
      <w:tr w:rsidR="008E018B" w:rsidRPr="000B7C17" w14:paraId="770CB4CA" w14:textId="77777777" w:rsidTr="008E018B">
        <w:trPr>
          <w:trHeight w:val="87"/>
        </w:trPr>
        <w:tc>
          <w:tcPr>
            <w:tcW w:w="3150" w:type="dxa"/>
          </w:tcPr>
          <w:p w14:paraId="07D2390C" w14:textId="44D7F5C8" w:rsidR="008E018B" w:rsidRPr="008E018B" w:rsidRDefault="008E018B" w:rsidP="008E018B">
            <w:pPr>
              <w:spacing w:after="0" w:line="240" w:lineRule="auto"/>
              <w:rPr>
                <w:rFonts w:ascii="Calibri" w:eastAsia="Calibri" w:hAnsi="Calibri" w:cs="Times New Roman"/>
                <w:sz w:val="24"/>
                <w:szCs w:val="24"/>
              </w:rPr>
            </w:pPr>
            <w:r>
              <w:rPr>
                <w:rFonts w:ascii="Calibri" w:eastAsia="Calibri" w:hAnsi="Calibri" w:cs="Times New Roman"/>
                <w:sz w:val="24"/>
                <w:szCs w:val="24"/>
              </w:rPr>
              <w:t>Clusters</w:t>
            </w:r>
          </w:p>
        </w:tc>
        <w:tc>
          <w:tcPr>
            <w:tcW w:w="2430" w:type="dxa"/>
          </w:tcPr>
          <w:p w14:paraId="26E33FA0" w14:textId="5BE3F294" w:rsidR="008E018B" w:rsidRDefault="00614DC3" w:rsidP="008E018B">
            <w:pPr>
              <w:spacing w:after="0" w:line="240" w:lineRule="auto"/>
              <w:jc w:val="center"/>
              <w:rPr>
                <w:rFonts w:cstheme="minorHAnsi"/>
                <w:sz w:val="24"/>
                <w:szCs w:val="24"/>
              </w:rPr>
            </w:pPr>
            <w:r>
              <w:rPr>
                <w:rFonts w:cstheme="minorHAnsi"/>
                <w:sz w:val="24"/>
                <w:szCs w:val="24"/>
              </w:rPr>
              <w:t>564</w:t>
            </w:r>
          </w:p>
        </w:tc>
      </w:tr>
      <w:tr w:rsidR="008E018B" w:rsidRPr="000B7C17" w14:paraId="2B8C490A" w14:textId="77777777" w:rsidTr="008E018B">
        <w:tc>
          <w:tcPr>
            <w:tcW w:w="3150" w:type="dxa"/>
            <w:tcBorders>
              <w:top w:val="nil"/>
              <w:left w:val="nil"/>
              <w:bottom w:val="single" w:sz="4" w:space="0" w:color="auto"/>
              <w:right w:val="nil"/>
            </w:tcBorders>
            <w:hideMark/>
          </w:tcPr>
          <w:p w14:paraId="6366EE8C" w14:textId="77777777" w:rsidR="008E018B" w:rsidRPr="008E018B" w:rsidRDefault="008E018B" w:rsidP="008E018B">
            <w:pPr>
              <w:spacing w:after="0" w:line="240" w:lineRule="auto"/>
              <w:rPr>
                <w:rFonts w:cstheme="minorHAnsi"/>
                <w:sz w:val="24"/>
                <w:szCs w:val="24"/>
              </w:rPr>
            </w:pPr>
            <w:r w:rsidRPr="008E018B">
              <w:rPr>
                <w:rFonts w:cstheme="minorHAnsi"/>
                <w:sz w:val="24"/>
                <w:szCs w:val="24"/>
              </w:rPr>
              <w:t>N</w:t>
            </w:r>
          </w:p>
        </w:tc>
        <w:tc>
          <w:tcPr>
            <w:tcW w:w="2430" w:type="dxa"/>
            <w:tcBorders>
              <w:top w:val="nil"/>
              <w:left w:val="nil"/>
              <w:bottom w:val="single" w:sz="4" w:space="0" w:color="auto"/>
              <w:right w:val="nil"/>
            </w:tcBorders>
            <w:hideMark/>
          </w:tcPr>
          <w:p w14:paraId="7EDA4A52" w14:textId="032CE78D" w:rsidR="008E018B" w:rsidRPr="008E018B" w:rsidRDefault="008E018B" w:rsidP="008E018B">
            <w:pPr>
              <w:spacing w:after="0" w:line="240" w:lineRule="auto"/>
              <w:jc w:val="center"/>
              <w:rPr>
                <w:rFonts w:cstheme="minorHAnsi"/>
                <w:sz w:val="24"/>
                <w:szCs w:val="24"/>
              </w:rPr>
            </w:pPr>
            <w:r>
              <w:rPr>
                <w:rFonts w:cstheme="minorHAnsi"/>
                <w:sz w:val="24"/>
                <w:szCs w:val="24"/>
              </w:rPr>
              <w:t>2,324</w:t>
            </w:r>
          </w:p>
        </w:tc>
      </w:tr>
      <w:tr w:rsidR="008E018B" w:rsidRPr="000B7C17" w14:paraId="100DA7DB" w14:textId="77777777" w:rsidTr="008E018B">
        <w:tc>
          <w:tcPr>
            <w:tcW w:w="5580" w:type="dxa"/>
            <w:gridSpan w:val="2"/>
            <w:tcBorders>
              <w:top w:val="single" w:sz="4" w:space="0" w:color="auto"/>
              <w:left w:val="nil"/>
              <w:bottom w:val="single" w:sz="4" w:space="0" w:color="auto"/>
              <w:right w:val="nil"/>
            </w:tcBorders>
          </w:tcPr>
          <w:p w14:paraId="3AC4195C" w14:textId="547E618C" w:rsidR="008E018B" w:rsidRPr="008E018B" w:rsidRDefault="008E018B" w:rsidP="008E018B">
            <w:pPr>
              <w:spacing w:after="0" w:line="240" w:lineRule="auto"/>
              <w:rPr>
                <w:rFonts w:cstheme="minorHAnsi"/>
                <w:sz w:val="24"/>
                <w:szCs w:val="24"/>
              </w:rPr>
            </w:pPr>
            <w:r w:rsidRPr="008E018B">
              <w:rPr>
                <w:rFonts w:cstheme="minorHAnsi"/>
                <w:sz w:val="24"/>
                <w:szCs w:val="24"/>
              </w:rPr>
              <w:t xml:space="preserve">Notes:  p&lt;0.1 *, p&lt;0.05 **, p&lt;0.01 ***; </w:t>
            </w:r>
            <w:r w:rsidR="00C744A2">
              <w:rPr>
                <w:rFonts w:cstheme="minorHAnsi"/>
                <w:sz w:val="24"/>
                <w:szCs w:val="24"/>
              </w:rPr>
              <w:t xml:space="preserve">Maize </w:t>
            </w:r>
            <w:r>
              <w:rPr>
                <w:rFonts w:cstheme="minorHAnsi"/>
                <w:sz w:val="24"/>
                <w:szCs w:val="24"/>
              </w:rPr>
              <w:t xml:space="preserve">yield data is averaged at the year and community level; </w:t>
            </w:r>
            <w:r w:rsidRPr="008E018B">
              <w:rPr>
                <w:rFonts w:cstheme="minorHAnsi"/>
                <w:sz w:val="24"/>
                <w:szCs w:val="24"/>
              </w:rPr>
              <w:t>Clustered robust standard errors at community</w:t>
            </w:r>
            <w:r>
              <w:rPr>
                <w:rFonts w:cstheme="minorHAnsi"/>
                <w:sz w:val="24"/>
                <w:szCs w:val="24"/>
              </w:rPr>
              <w:t xml:space="preserve">-year </w:t>
            </w:r>
            <w:r w:rsidRPr="008E018B">
              <w:rPr>
                <w:rFonts w:cstheme="minorHAnsi"/>
                <w:sz w:val="24"/>
                <w:szCs w:val="24"/>
              </w:rPr>
              <w:t>level</w:t>
            </w:r>
            <w:r>
              <w:rPr>
                <w:rFonts w:cstheme="minorHAnsi"/>
                <w:sz w:val="24"/>
                <w:szCs w:val="24"/>
              </w:rPr>
              <w:t>.</w:t>
            </w:r>
          </w:p>
        </w:tc>
      </w:tr>
    </w:tbl>
    <w:p w14:paraId="6AD97C2F" w14:textId="347E01B3" w:rsidR="00006671" w:rsidRDefault="00006671" w:rsidP="0090513F">
      <w:pPr>
        <w:spacing w:after="0" w:line="240" w:lineRule="auto"/>
        <w:jc w:val="both"/>
        <w:rPr>
          <w:b/>
          <w:sz w:val="24"/>
        </w:rPr>
      </w:pPr>
    </w:p>
    <w:p w14:paraId="6113F5C9" w14:textId="55C8FDFB" w:rsidR="00006671" w:rsidRDefault="00006671" w:rsidP="0090513F">
      <w:pPr>
        <w:spacing w:after="0" w:line="240" w:lineRule="auto"/>
        <w:jc w:val="both"/>
        <w:rPr>
          <w:b/>
          <w:sz w:val="24"/>
        </w:rPr>
      </w:pPr>
    </w:p>
    <w:p w14:paraId="1AC4577C" w14:textId="795CE697" w:rsidR="00006671" w:rsidRDefault="00006671" w:rsidP="0090513F">
      <w:pPr>
        <w:spacing w:after="0" w:line="240" w:lineRule="auto"/>
        <w:jc w:val="both"/>
        <w:rPr>
          <w:b/>
          <w:sz w:val="24"/>
        </w:rPr>
      </w:pPr>
    </w:p>
    <w:p w14:paraId="7C07380C" w14:textId="3BFE14AD" w:rsidR="00006671" w:rsidRDefault="00006671" w:rsidP="0090513F">
      <w:pPr>
        <w:spacing w:after="0" w:line="240" w:lineRule="auto"/>
        <w:jc w:val="both"/>
        <w:rPr>
          <w:b/>
          <w:sz w:val="24"/>
        </w:rPr>
      </w:pPr>
    </w:p>
    <w:p w14:paraId="1D6C157B" w14:textId="5680C0FC" w:rsidR="00006671" w:rsidRDefault="00006671" w:rsidP="0090513F">
      <w:pPr>
        <w:spacing w:after="0" w:line="240" w:lineRule="auto"/>
        <w:jc w:val="both"/>
        <w:rPr>
          <w:b/>
          <w:sz w:val="24"/>
        </w:rPr>
      </w:pPr>
    </w:p>
    <w:p w14:paraId="24787152" w14:textId="3BA00E3D" w:rsidR="00006671" w:rsidRDefault="00006671" w:rsidP="0090513F">
      <w:pPr>
        <w:spacing w:after="0" w:line="240" w:lineRule="auto"/>
        <w:jc w:val="both"/>
        <w:rPr>
          <w:b/>
          <w:sz w:val="24"/>
        </w:rPr>
      </w:pPr>
    </w:p>
    <w:p w14:paraId="064EFD86" w14:textId="1F60BC79" w:rsidR="00006671" w:rsidRDefault="00006671" w:rsidP="0090513F">
      <w:pPr>
        <w:spacing w:after="0" w:line="240" w:lineRule="auto"/>
        <w:jc w:val="both"/>
        <w:rPr>
          <w:b/>
          <w:sz w:val="24"/>
        </w:rPr>
      </w:pPr>
    </w:p>
    <w:p w14:paraId="5D2B29AC" w14:textId="42F043FB" w:rsidR="00006671" w:rsidRDefault="00006671" w:rsidP="0090513F">
      <w:pPr>
        <w:spacing w:after="0" w:line="240" w:lineRule="auto"/>
        <w:jc w:val="both"/>
        <w:rPr>
          <w:b/>
          <w:sz w:val="24"/>
        </w:rPr>
      </w:pPr>
    </w:p>
    <w:p w14:paraId="166CBFF0" w14:textId="650C262A" w:rsidR="008E018B" w:rsidRDefault="008E018B" w:rsidP="0090513F">
      <w:pPr>
        <w:spacing w:after="0" w:line="240" w:lineRule="auto"/>
        <w:jc w:val="both"/>
        <w:rPr>
          <w:b/>
          <w:sz w:val="24"/>
        </w:rPr>
      </w:pPr>
    </w:p>
    <w:p w14:paraId="1E20FA24" w14:textId="72290B98" w:rsidR="008E018B" w:rsidRDefault="008E018B" w:rsidP="0090513F">
      <w:pPr>
        <w:spacing w:after="0" w:line="240" w:lineRule="auto"/>
        <w:jc w:val="both"/>
        <w:rPr>
          <w:b/>
          <w:sz w:val="24"/>
        </w:rPr>
      </w:pPr>
    </w:p>
    <w:p w14:paraId="2BAEC23A" w14:textId="6A5DF639" w:rsidR="008E018B" w:rsidRDefault="008E018B" w:rsidP="0090513F">
      <w:pPr>
        <w:spacing w:after="0" w:line="240" w:lineRule="auto"/>
        <w:jc w:val="both"/>
        <w:rPr>
          <w:b/>
          <w:sz w:val="24"/>
        </w:rPr>
      </w:pPr>
    </w:p>
    <w:p w14:paraId="31BBC9AA" w14:textId="0C345A40" w:rsidR="008E018B" w:rsidRDefault="008E018B" w:rsidP="0090513F">
      <w:pPr>
        <w:spacing w:after="0" w:line="240" w:lineRule="auto"/>
        <w:jc w:val="both"/>
        <w:rPr>
          <w:b/>
          <w:sz w:val="24"/>
        </w:rPr>
      </w:pPr>
    </w:p>
    <w:p w14:paraId="4F76F468" w14:textId="218B2B99" w:rsidR="008E018B" w:rsidRDefault="008E018B" w:rsidP="0090513F">
      <w:pPr>
        <w:spacing w:after="0" w:line="240" w:lineRule="auto"/>
        <w:jc w:val="both"/>
        <w:rPr>
          <w:b/>
          <w:sz w:val="24"/>
        </w:rPr>
      </w:pPr>
    </w:p>
    <w:p w14:paraId="7314630C" w14:textId="7028B4B9" w:rsidR="008E018B" w:rsidRDefault="008E018B" w:rsidP="0090513F">
      <w:pPr>
        <w:spacing w:after="0" w:line="240" w:lineRule="auto"/>
        <w:jc w:val="both"/>
        <w:rPr>
          <w:b/>
          <w:sz w:val="24"/>
        </w:rPr>
      </w:pPr>
    </w:p>
    <w:p w14:paraId="53734000" w14:textId="55B3CA27" w:rsidR="00006671" w:rsidRDefault="00C34280" w:rsidP="0090513F">
      <w:pPr>
        <w:spacing w:after="0" w:line="240" w:lineRule="auto"/>
        <w:jc w:val="both"/>
        <w:rPr>
          <w:sz w:val="24"/>
        </w:rPr>
      </w:pPr>
      <w:r>
        <w:rPr>
          <w:sz w:val="24"/>
        </w:rPr>
        <w:t>Based on our initial theoretical and empirical considerations, we believe that crop price variation may be an</w:t>
      </w:r>
      <w:r w:rsidR="00674372">
        <w:rPr>
          <w:sz w:val="24"/>
        </w:rPr>
        <w:t xml:space="preserve"> essential component of farmer income</w:t>
      </w:r>
      <w:r>
        <w:rPr>
          <w:sz w:val="24"/>
        </w:rPr>
        <w:t xml:space="preserve"> risk. Therefore, to create index insurance policies that provide critical insurance coverage for farmers and minimize basis risk, price variation should be considered. </w:t>
      </w:r>
    </w:p>
    <w:p w14:paraId="0199E269" w14:textId="77777777" w:rsidR="00C34280" w:rsidRDefault="00C34280" w:rsidP="0090513F">
      <w:pPr>
        <w:spacing w:after="0" w:line="240" w:lineRule="auto"/>
        <w:jc w:val="both"/>
        <w:rPr>
          <w:b/>
          <w:sz w:val="24"/>
        </w:rPr>
      </w:pPr>
    </w:p>
    <w:p w14:paraId="114FE382" w14:textId="682A56C9" w:rsidR="00EE181A" w:rsidRDefault="00EE181A" w:rsidP="0090513F">
      <w:pPr>
        <w:spacing w:after="0" w:line="240" w:lineRule="auto"/>
        <w:jc w:val="both"/>
        <w:rPr>
          <w:b/>
          <w:sz w:val="24"/>
        </w:rPr>
      </w:pPr>
    </w:p>
    <w:p w14:paraId="555746A4" w14:textId="3EAE0768" w:rsidR="006F7CB8" w:rsidRPr="006F7CB8" w:rsidRDefault="006F7CB8" w:rsidP="0090513F">
      <w:pPr>
        <w:spacing w:after="0" w:line="240" w:lineRule="auto"/>
        <w:jc w:val="both"/>
        <w:rPr>
          <w:b/>
          <w:sz w:val="24"/>
        </w:rPr>
      </w:pPr>
    </w:p>
    <w:p w14:paraId="103DDCEB" w14:textId="77777777" w:rsidR="006F7CB8" w:rsidRDefault="006F7CB8" w:rsidP="00E65CDD">
      <w:pPr>
        <w:pStyle w:val="ListParagraph"/>
        <w:numPr>
          <w:ilvl w:val="0"/>
          <w:numId w:val="13"/>
        </w:numPr>
        <w:spacing w:after="0" w:line="240" w:lineRule="auto"/>
        <w:jc w:val="both"/>
        <w:rPr>
          <w:b/>
          <w:sz w:val="24"/>
        </w:rPr>
      </w:pPr>
      <w:r w:rsidRPr="006F7CB8">
        <w:rPr>
          <w:b/>
          <w:sz w:val="24"/>
        </w:rPr>
        <w:t xml:space="preserve">Project Activities </w:t>
      </w:r>
    </w:p>
    <w:p w14:paraId="3050E6F5" w14:textId="77777777" w:rsidR="006F7CB8" w:rsidRDefault="006F7CB8" w:rsidP="0090513F">
      <w:pPr>
        <w:spacing w:after="0" w:line="240" w:lineRule="auto"/>
        <w:jc w:val="both"/>
        <w:rPr>
          <w:b/>
          <w:sz w:val="24"/>
        </w:rPr>
      </w:pPr>
    </w:p>
    <w:p w14:paraId="2AB918B3" w14:textId="77777777" w:rsidR="006F7CB8" w:rsidRDefault="006F7CB8" w:rsidP="0090513F">
      <w:pPr>
        <w:spacing w:after="0" w:line="240" w:lineRule="auto"/>
        <w:jc w:val="both"/>
        <w:rPr>
          <w:b/>
          <w:sz w:val="24"/>
        </w:rPr>
      </w:pPr>
    </w:p>
    <w:p w14:paraId="19F560BF" w14:textId="77777777" w:rsidR="006F7CB8" w:rsidRDefault="009B5D02" w:rsidP="0090513F">
      <w:pPr>
        <w:spacing w:after="0" w:line="240" w:lineRule="auto"/>
        <w:jc w:val="both"/>
        <w:rPr>
          <w:i/>
          <w:sz w:val="24"/>
        </w:rPr>
      </w:pPr>
      <w:r>
        <w:rPr>
          <w:i/>
          <w:sz w:val="24"/>
        </w:rPr>
        <w:t>Improved</w:t>
      </w:r>
      <w:r w:rsidR="00435AFE">
        <w:rPr>
          <w:i/>
          <w:sz w:val="24"/>
        </w:rPr>
        <w:t xml:space="preserve"> Area </w:t>
      </w:r>
      <w:r w:rsidR="00D92DC4">
        <w:rPr>
          <w:i/>
          <w:sz w:val="24"/>
        </w:rPr>
        <w:t xml:space="preserve">Yield </w:t>
      </w:r>
      <w:r>
        <w:rPr>
          <w:i/>
          <w:sz w:val="24"/>
        </w:rPr>
        <w:t>Index</w:t>
      </w:r>
    </w:p>
    <w:p w14:paraId="758D516E" w14:textId="77777777" w:rsidR="00D92DC4" w:rsidRDefault="00D92DC4" w:rsidP="0090513F">
      <w:pPr>
        <w:spacing w:after="0" w:line="240" w:lineRule="auto"/>
        <w:jc w:val="both"/>
        <w:rPr>
          <w:i/>
          <w:sz w:val="24"/>
        </w:rPr>
      </w:pPr>
    </w:p>
    <w:p w14:paraId="7B787462" w14:textId="5C7BD4FC" w:rsidR="00680059" w:rsidRDefault="00680059" w:rsidP="0090513F">
      <w:pPr>
        <w:spacing w:after="0" w:line="240" w:lineRule="auto"/>
        <w:jc w:val="both"/>
        <w:rPr>
          <w:sz w:val="24"/>
        </w:rPr>
      </w:pPr>
      <w:r>
        <w:rPr>
          <w:sz w:val="24"/>
        </w:rPr>
        <w:t>We intend to partner with the remote sensing research team at the University of California Davis to develop area yield indices ba</w:t>
      </w:r>
      <w:r w:rsidR="00C34280">
        <w:rPr>
          <w:sz w:val="24"/>
        </w:rPr>
        <w:t xml:space="preserve">sed on remote sensing data. We will </w:t>
      </w:r>
      <w:r>
        <w:rPr>
          <w:sz w:val="24"/>
        </w:rPr>
        <w:t>calibrate these indices using hous</w:t>
      </w:r>
      <w:r w:rsidR="002E3447">
        <w:rPr>
          <w:sz w:val="24"/>
        </w:rPr>
        <w:t>ehold data from the Ohio State University b</w:t>
      </w:r>
      <w:r>
        <w:rPr>
          <w:sz w:val="24"/>
        </w:rPr>
        <w:t>ased research team</w:t>
      </w:r>
      <w:r w:rsidR="00A524D9">
        <w:rPr>
          <w:sz w:val="24"/>
        </w:rPr>
        <w:t xml:space="preserve"> lead by Mario Miranda</w:t>
      </w:r>
      <w:r w:rsidR="00015DA3">
        <w:rPr>
          <w:sz w:val="24"/>
        </w:rPr>
        <w:t xml:space="preserve"> and</w:t>
      </w:r>
      <w:r w:rsidR="00A524D9">
        <w:rPr>
          <w:sz w:val="24"/>
        </w:rPr>
        <w:t xml:space="preserve"> the Northwestern</w:t>
      </w:r>
      <w:r>
        <w:rPr>
          <w:sz w:val="24"/>
        </w:rPr>
        <w:t xml:space="preserve"> based research team lead by Chris Udry. Furthermore, we will carefully calibrate our yield indices to optimize insurance zone sizes and explore other contract features such as second stage audits to minimize basis risk. </w:t>
      </w:r>
    </w:p>
    <w:p w14:paraId="5715D274" w14:textId="77777777" w:rsidR="00680059" w:rsidRDefault="00680059" w:rsidP="0090513F">
      <w:pPr>
        <w:spacing w:after="0" w:line="240" w:lineRule="auto"/>
        <w:jc w:val="both"/>
        <w:rPr>
          <w:sz w:val="24"/>
        </w:rPr>
      </w:pPr>
    </w:p>
    <w:p w14:paraId="3C02D77D" w14:textId="77777777" w:rsidR="00802307" w:rsidRDefault="00802307" w:rsidP="0090513F">
      <w:pPr>
        <w:spacing w:after="0" w:line="240" w:lineRule="auto"/>
        <w:jc w:val="both"/>
        <w:rPr>
          <w:i/>
          <w:sz w:val="24"/>
        </w:rPr>
      </w:pPr>
    </w:p>
    <w:p w14:paraId="5411B6D8" w14:textId="77777777" w:rsidR="00D92DC4" w:rsidRPr="00D92DC4" w:rsidRDefault="00D92DC4" w:rsidP="0090513F">
      <w:pPr>
        <w:spacing w:after="0" w:line="240" w:lineRule="auto"/>
        <w:jc w:val="both"/>
        <w:rPr>
          <w:i/>
          <w:sz w:val="24"/>
        </w:rPr>
      </w:pPr>
      <w:r>
        <w:rPr>
          <w:i/>
          <w:sz w:val="24"/>
        </w:rPr>
        <w:t>Revenue Index Development and Insurance Products</w:t>
      </w:r>
    </w:p>
    <w:p w14:paraId="46A04D8B" w14:textId="77777777" w:rsidR="006F7CB8" w:rsidRDefault="006F7CB8" w:rsidP="0090513F">
      <w:pPr>
        <w:spacing w:after="0" w:line="240" w:lineRule="auto"/>
        <w:jc w:val="both"/>
        <w:rPr>
          <w:b/>
          <w:sz w:val="24"/>
        </w:rPr>
      </w:pPr>
    </w:p>
    <w:p w14:paraId="200F9AE3" w14:textId="67AD1FFF" w:rsidR="00641A83" w:rsidRDefault="00680059" w:rsidP="0090513F">
      <w:pPr>
        <w:spacing w:after="0" w:line="240" w:lineRule="auto"/>
        <w:jc w:val="both"/>
        <w:rPr>
          <w:sz w:val="24"/>
        </w:rPr>
      </w:pPr>
      <w:r>
        <w:rPr>
          <w:sz w:val="24"/>
        </w:rPr>
        <w:t xml:space="preserve">Our second project activity will be to develop basis risk minimizing area revenue </w:t>
      </w:r>
      <w:r w:rsidR="003D028F">
        <w:rPr>
          <w:sz w:val="24"/>
        </w:rPr>
        <w:t>indices</w:t>
      </w:r>
      <w:r>
        <w:rPr>
          <w:sz w:val="24"/>
        </w:rPr>
        <w:t xml:space="preserve"> and corresponding index insurance products. </w:t>
      </w:r>
      <w:r w:rsidR="00641A83">
        <w:rPr>
          <w:sz w:val="24"/>
        </w:rPr>
        <w:t xml:space="preserve">We will design our revenue index insurance policies using three sources of data. First, household </w:t>
      </w:r>
      <w:r w:rsidR="002E3447">
        <w:rPr>
          <w:sz w:val="24"/>
        </w:rPr>
        <w:t>level data from the Ohio State University b</w:t>
      </w:r>
      <w:r w:rsidR="00641A83">
        <w:rPr>
          <w:sz w:val="24"/>
        </w:rPr>
        <w:t>ased research team</w:t>
      </w:r>
      <w:r w:rsidR="00A524D9">
        <w:rPr>
          <w:sz w:val="24"/>
        </w:rPr>
        <w:t xml:space="preserve"> lead by Mario Miranda, the Northwestern</w:t>
      </w:r>
      <w:r w:rsidR="00641A83">
        <w:rPr>
          <w:sz w:val="24"/>
        </w:rPr>
        <w:t xml:space="preserve"> based research team lead by Chris Udry, and </w:t>
      </w:r>
      <w:r w:rsidR="00A524D9">
        <w:rPr>
          <w:sz w:val="24"/>
        </w:rPr>
        <w:t>most importantly, market</w:t>
      </w:r>
      <w:r w:rsidR="00152D4B">
        <w:rPr>
          <w:sz w:val="24"/>
        </w:rPr>
        <w:t xml:space="preserve"> prices from Tamale, Wa, and Yendi in northern Ghana. </w:t>
      </w:r>
    </w:p>
    <w:p w14:paraId="11B5ADC4" w14:textId="77777777" w:rsidR="00680059" w:rsidRDefault="00680059" w:rsidP="0090513F">
      <w:pPr>
        <w:spacing w:after="0" w:line="240" w:lineRule="auto"/>
        <w:jc w:val="both"/>
        <w:rPr>
          <w:sz w:val="24"/>
        </w:rPr>
      </w:pPr>
    </w:p>
    <w:p w14:paraId="207CFB5B" w14:textId="77B16634" w:rsidR="00924FC3" w:rsidRDefault="00924FC3" w:rsidP="006F7CB8">
      <w:pPr>
        <w:spacing w:after="0" w:line="240" w:lineRule="auto"/>
        <w:rPr>
          <w:sz w:val="24"/>
        </w:rPr>
      </w:pPr>
    </w:p>
    <w:p w14:paraId="67CAE245" w14:textId="0189DA01" w:rsidR="00680059" w:rsidRDefault="00680059" w:rsidP="006F7CB8">
      <w:pPr>
        <w:spacing w:after="0" w:line="240" w:lineRule="auto"/>
        <w:rPr>
          <w:i/>
          <w:sz w:val="24"/>
        </w:rPr>
      </w:pPr>
      <w:r>
        <w:rPr>
          <w:i/>
          <w:sz w:val="24"/>
        </w:rPr>
        <w:t>Piloting Innovative Index Insurance Policies</w:t>
      </w:r>
    </w:p>
    <w:p w14:paraId="6D57614E" w14:textId="77777777" w:rsidR="00680059" w:rsidRDefault="00680059" w:rsidP="0090513F">
      <w:pPr>
        <w:spacing w:after="0" w:line="240" w:lineRule="auto"/>
        <w:jc w:val="both"/>
        <w:rPr>
          <w:i/>
          <w:sz w:val="24"/>
        </w:rPr>
      </w:pPr>
    </w:p>
    <w:p w14:paraId="22C37EA2" w14:textId="5491129C" w:rsidR="00357057" w:rsidRDefault="00A524D9" w:rsidP="00357057">
      <w:pPr>
        <w:spacing w:after="0" w:line="240" w:lineRule="auto"/>
        <w:jc w:val="both"/>
        <w:rPr>
          <w:sz w:val="24"/>
        </w:rPr>
      </w:pPr>
      <w:r>
        <w:rPr>
          <w:sz w:val="24"/>
        </w:rPr>
        <w:t>Our third</w:t>
      </w:r>
      <w:r w:rsidR="00680059">
        <w:rPr>
          <w:sz w:val="24"/>
        </w:rPr>
        <w:t xml:space="preserve"> project activity is to work with </w:t>
      </w:r>
      <w:r w:rsidR="0090513F">
        <w:rPr>
          <w:sz w:val="24"/>
        </w:rPr>
        <w:t>the Ghana Agricultural Insurance Programme (</w:t>
      </w:r>
      <w:r w:rsidR="00680059">
        <w:rPr>
          <w:sz w:val="24"/>
        </w:rPr>
        <w:t>GAIP</w:t>
      </w:r>
      <w:r w:rsidR="0090513F">
        <w:rPr>
          <w:sz w:val="24"/>
        </w:rPr>
        <w:t>)</w:t>
      </w:r>
      <w:r w:rsidR="00680059">
        <w:rPr>
          <w:sz w:val="24"/>
        </w:rPr>
        <w:t xml:space="preserve"> to pilot our newly developed index insurance policies. </w:t>
      </w:r>
      <w:r w:rsidR="0090513F">
        <w:rPr>
          <w:sz w:val="24"/>
        </w:rPr>
        <w:t xml:space="preserve">GAIP remains the exclusive private sector provider of agricultural index insurance policies in Ghana. At present GAIP offers rainfall based index insurance policies to individual farmers, cooperatives, and banks as well as agricultural loan portfolio insurance for banks. However, their products remain open to considerable improvement in design and marketing. We propose to use your improved indices and insurance contracts to improve the products that GAIP offers and therefore improve GAIP’s ability to offer effective risk management products in Ghana’s agricultural sector. We propose that throughout the development of new products, we will work closely with GAIP to develop products that they believe will improve upon their </w:t>
      </w:r>
      <w:r w:rsidR="00357057">
        <w:rPr>
          <w:sz w:val="24"/>
        </w:rPr>
        <w:t>current</w:t>
      </w:r>
      <w:r w:rsidR="0090513F">
        <w:rPr>
          <w:sz w:val="24"/>
        </w:rPr>
        <w:t xml:space="preserve"> products and will be effectively marketable. </w:t>
      </w:r>
      <w:r w:rsidR="00357057">
        <w:rPr>
          <w:sz w:val="24"/>
        </w:rPr>
        <w:t>Furthermore, in the final year of our work, we will work with GAIP to market</w:t>
      </w:r>
      <w:r w:rsidR="00B81FE6">
        <w:rPr>
          <w:sz w:val="24"/>
        </w:rPr>
        <w:t xml:space="preserve"> and implement our new products and will ex</w:t>
      </w:r>
      <w:bookmarkStart w:id="0" w:name="_GoBack"/>
      <w:bookmarkEnd w:id="0"/>
      <w:r w:rsidR="00B81FE6">
        <w:rPr>
          <w:sz w:val="24"/>
        </w:rPr>
        <w:t>plore means of rigorously evaluating demand for these products.</w:t>
      </w:r>
      <w:r w:rsidR="00357057">
        <w:rPr>
          <w:sz w:val="24"/>
        </w:rPr>
        <w:t xml:space="preserve"> </w:t>
      </w:r>
    </w:p>
    <w:p w14:paraId="3B0C5925" w14:textId="77777777" w:rsidR="006F7CB8" w:rsidRPr="006F7CB8" w:rsidRDefault="006F7CB8" w:rsidP="00E65CDD">
      <w:pPr>
        <w:pStyle w:val="ListParagraph"/>
        <w:numPr>
          <w:ilvl w:val="0"/>
          <w:numId w:val="13"/>
        </w:numPr>
        <w:spacing w:after="0" w:line="240" w:lineRule="auto"/>
        <w:rPr>
          <w:b/>
          <w:sz w:val="24"/>
        </w:rPr>
      </w:pPr>
      <w:r w:rsidRPr="006F7CB8">
        <w:rPr>
          <w:b/>
          <w:sz w:val="24"/>
        </w:rPr>
        <w:lastRenderedPageBreak/>
        <w:t>References</w:t>
      </w:r>
    </w:p>
    <w:p w14:paraId="63C4C691" w14:textId="77777777" w:rsidR="004C4226" w:rsidRDefault="004C4226" w:rsidP="004C4226">
      <w:pPr>
        <w:rPr>
          <w:sz w:val="28"/>
        </w:rPr>
      </w:pPr>
    </w:p>
    <w:p w14:paraId="5001705B"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Agriculture in Ghana: Facts and figures (2012). Ghana Ministry of Food and Agriculture. Available at: http://agrihomegh.com/wpcontent/uploads/2017/01/Mofafactsandfigures2012.pdf (last accessed 07 June 2018). </w:t>
      </w:r>
    </w:p>
    <w:p w14:paraId="624029E6" w14:textId="77777777" w:rsidR="00755BD1" w:rsidRPr="00B833BF"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Cai, H., Chen, Y., Fang, H., and Zhou, L. ‘</w:t>
      </w:r>
      <w:r w:rsidRPr="007F77BC">
        <w:rPr>
          <w:rFonts w:cstheme="minorHAnsi"/>
          <w:noProof/>
          <w:sz w:val="24"/>
          <w:szCs w:val="24"/>
        </w:rPr>
        <w:t>The Effect of Microinsurance on Economic Activities: Evidence from a Randomized Field Experiment</w:t>
      </w:r>
      <w:r>
        <w:rPr>
          <w:rFonts w:cstheme="minorHAnsi"/>
          <w:noProof/>
          <w:sz w:val="24"/>
          <w:szCs w:val="24"/>
        </w:rPr>
        <w:t xml:space="preserve">’, </w:t>
      </w:r>
      <w:r>
        <w:rPr>
          <w:rFonts w:cstheme="minorHAnsi"/>
          <w:i/>
          <w:noProof/>
          <w:sz w:val="24"/>
          <w:szCs w:val="24"/>
        </w:rPr>
        <w:t xml:space="preserve">The Review of Economics and Statistics, </w:t>
      </w:r>
      <w:r>
        <w:rPr>
          <w:rFonts w:cstheme="minorHAnsi"/>
          <w:noProof/>
          <w:sz w:val="24"/>
          <w:szCs w:val="24"/>
        </w:rPr>
        <w:t>Vol. 97(2), (2015) pp. 287-300.</w:t>
      </w:r>
      <w:r>
        <w:rPr>
          <w:rFonts w:cstheme="minorHAnsi"/>
          <w:i/>
          <w:noProof/>
          <w:sz w:val="24"/>
          <w:szCs w:val="24"/>
        </w:rPr>
        <w:t xml:space="preserve"> </w:t>
      </w:r>
      <w:r>
        <w:rPr>
          <w:rFonts w:cstheme="minorHAnsi"/>
          <w:noProof/>
          <w:sz w:val="24"/>
          <w:szCs w:val="24"/>
        </w:rPr>
        <w:t xml:space="preserve"> </w:t>
      </w:r>
    </w:p>
    <w:p w14:paraId="52944A66"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Carter, M. Innovations for Managing Basis Risk under Index Insurance for Small Farm Agriculture. Foundation Pour Les Études et Recherches sur Le Développement International Policy Brief (41) 2011. Available at:  </w:t>
      </w:r>
      <w:r w:rsidRPr="00B94AC7">
        <w:rPr>
          <w:rFonts w:cstheme="minorHAnsi"/>
          <w:noProof/>
          <w:sz w:val="24"/>
          <w:szCs w:val="24"/>
        </w:rPr>
        <w:t>http://www.ferdi.fr/sites/www.ferdi.fr/files/publication/fichiers/B41.pdf</w:t>
      </w:r>
      <w:r>
        <w:rPr>
          <w:rFonts w:cstheme="minorHAnsi"/>
          <w:noProof/>
          <w:sz w:val="24"/>
          <w:szCs w:val="24"/>
        </w:rPr>
        <w:t xml:space="preserve"> (last accessed 17 June 2018).</w:t>
      </w:r>
    </w:p>
    <w:p w14:paraId="1DF70FD6"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Carter, M., Elabed, G. and Serfilippi, E. 'Behavioral economic insights on index insurance design', </w:t>
      </w:r>
      <w:r w:rsidRPr="00540443">
        <w:rPr>
          <w:rFonts w:cstheme="minorHAnsi"/>
          <w:i/>
          <w:iCs/>
          <w:noProof/>
          <w:sz w:val="24"/>
          <w:szCs w:val="24"/>
        </w:rPr>
        <w:t>Agricultural Finance Review,</w:t>
      </w:r>
      <w:r w:rsidRPr="00540443">
        <w:rPr>
          <w:rFonts w:cstheme="minorHAnsi"/>
          <w:noProof/>
          <w:sz w:val="24"/>
          <w:szCs w:val="24"/>
        </w:rPr>
        <w:t xml:space="preserve"> Vol. 75(1), (2015) pp. 8–18. </w:t>
      </w:r>
    </w:p>
    <w:p w14:paraId="2A2743FC"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Carter, M.R., Cheng, L. and Sarris, A. 'Where and how index insurance can boost the adoption of improved agricultural technologies', </w:t>
      </w:r>
      <w:r w:rsidRPr="00540443">
        <w:rPr>
          <w:rFonts w:cstheme="minorHAnsi"/>
          <w:i/>
          <w:iCs/>
          <w:noProof/>
          <w:sz w:val="24"/>
          <w:szCs w:val="24"/>
        </w:rPr>
        <w:t>Journal of Development Economics,</w:t>
      </w:r>
      <w:r w:rsidRPr="00540443">
        <w:rPr>
          <w:rFonts w:cstheme="minorHAnsi"/>
          <w:noProof/>
          <w:sz w:val="24"/>
          <w:szCs w:val="24"/>
        </w:rPr>
        <w:t xml:space="preserve"> Vol. 118, (2016) pp. 59–71. </w:t>
      </w:r>
    </w:p>
    <w:p w14:paraId="3F67D9B6"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Clarke, D. 'A Theory of Rational Demand for Index Insurance', </w:t>
      </w:r>
      <w:r>
        <w:rPr>
          <w:rFonts w:cstheme="minorHAnsi"/>
          <w:i/>
          <w:noProof/>
          <w:sz w:val="24"/>
          <w:szCs w:val="24"/>
        </w:rPr>
        <w:t>American Economic Journal: Microeconomics,</w:t>
      </w:r>
      <w:r>
        <w:rPr>
          <w:rFonts w:cstheme="minorHAnsi"/>
          <w:noProof/>
          <w:sz w:val="24"/>
          <w:szCs w:val="24"/>
        </w:rPr>
        <w:t xml:space="preserve"> Vol.8(1), (2016) pp. 283-306.</w:t>
      </w:r>
    </w:p>
    <w:p w14:paraId="0E17F9AE" w14:textId="77777777" w:rsidR="00755BD1" w:rsidRPr="00DA7384"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Clarke, D., Mahul, O., Rao, K., and Verma, N. </w:t>
      </w:r>
      <w:r w:rsidRPr="00DA7384">
        <w:rPr>
          <w:rFonts w:cstheme="minorHAnsi"/>
          <w:i/>
          <w:noProof/>
          <w:sz w:val="24"/>
          <w:szCs w:val="24"/>
        </w:rPr>
        <w:t>Weather Based Crop Insurance in India</w:t>
      </w:r>
      <w:r>
        <w:rPr>
          <w:rFonts w:cstheme="minorHAnsi"/>
          <w:noProof/>
          <w:sz w:val="24"/>
          <w:szCs w:val="24"/>
        </w:rPr>
        <w:t>, Policy Research Working Paper 5985 (The World Bank: 2012).</w:t>
      </w:r>
    </w:p>
    <w:p w14:paraId="48D24487"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Cole, S., Giné, X., Tobacman, J., Townsend, R., Topalova, P. and Vickery, J. 'Barriers to Household Risk Management: Evidence from India', </w:t>
      </w:r>
      <w:r w:rsidRPr="00540443">
        <w:rPr>
          <w:rFonts w:cstheme="minorHAnsi"/>
          <w:i/>
          <w:iCs/>
          <w:noProof/>
          <w:sz w:val="24"/>
          <w:szCs w:val="24"/>
        </w:rPr>
        <w:t>American economic journal: Applied economics,</w:t>
      </w:r>
      <w:r w:rsidRPr="00540443">
        <w:rPr>
          <w:rFonts w:cstheme="minorHAnsi"/>
          <w:noProof/>
          <w:sz w:val="24"/>
          <w:szCs w:val="24"/>
        </w:rPr>
        <w:t xml:space="preserve"> Vol. 5(1), (2013) pp. 104–135. </w:t>
      </w:r>
    </w:p>
    <w:p w14:paraId="459BD159" w14:textId="77777777" w:rsidR="00755BD1" w:rsidRPr="007F77BC"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Elabed, G., and Carter, M. R. </w:t>
      </w:r>
      <w:r>
        <w:rPr>
          <w:rFonts w:cstheme="minorHAnsi"/>
          <w:i/>
          <w:noProof/>
          <w:sz w:val="24"/>
          <w:szCs w:val="24"/>
        </w:rPr>
        <w:t xml:space="preserve">Ex-ante Impacts of Agricultural Insurance: Evidence from a Field Experiment in Mali, </w:t>
      </w:r>
      <w:r>
        <w:rPr>
          <w:rFonts w:cstheme="minorHAnsi"/>
          <w:noProof/>
          <w:sz w:val="24"/>
          <w:szCs w:val="24"/>
        </w:rPr>
        <w:t xml:space="preserve">Working Paper (University of California Davis: 2015). </w:t>
      </w:r>
    </w:p>
    <w:p w14:paraId="7826DDF6" w14:textId="745C0E1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The Economic Lives of Smallholder Farmers: An Analysis Based on Household Data from Nine </w:t>
      </w:r>
      <w:r>
        <w:rPr>
          <w:rFonts w:cstheme="minorHAnsi"/>
          <w:noProof/>
          <w:sz w:val="24"/>
          <w:szCs w:val="24"/>
        </w:rPr>
        <w:lastRenderedPageBreak/>
        <w:t xml:space="preserve">Countries. Food and Agricultural Organization. 2015. Available at: </w:t>
      </w:r>
      <w:hyperlink r:id="rId14" w:history="1">
        <w:r w:rsidRPr="007A5F3A">
          <w:rPr>
            <w:rStyle w:val="Hyperlink"/>
            <w:rFonts w:cstheme="minorHAnsi"/>
            <w:noProof/>
            <w:sz w:val="24"/>
            <w:szCs w:val="24"/>
          </w:rPr>
          <w:t>http://www.fao.org/3/a-i5251e.pdf</w:t>
        </w:r>
      </w:hyperlink>
      <w:r>
        <w:rPr>
          <w:rFonts w:cstheme="minorHAnsi"/>
          <w:noProof/>
          <w:sz w:val="24"/>
          <w:szCs w:val="24"/>
        </w:rPr>
        <w:t xml:space="preserve"> (last accessed 17 July 2018). </w:t>
      </w:r>
    </w:p>
    <w:p w14:paraId="24E6F03C" w14:textId="77777777" w:rsidR="007434EC" w:rsidRDefault="007434EC" w:rsidP="007434EC">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Farrin, K., and Miranda, M. J. ‘A Heterogeneous Agent Model of Credit-linked Index Insurance and Farm Technology Adoption’, </w:t>
      </w:r>
      <w:r>
        <w:rPr>
          <w:rFonts w:cstheme="minorHAnsi"/>
          <w:i/>
          <w:noProof/>
          <w:sz w:val="24"/>
          <w:szCs w:val="24"/>
        </w:rPr>
        <w:t xml:space="preserve">Journal of Developent Economics, </w:t>
      </w:r>
      <w:r>
        <w:rPr>
          <w:rFonts w:cstheme="minorHAnsi"/>
          <w:noProof/>
          <w:sz w:val="24"/>
          <w:szCs w:val="24"/>
        </w:rPr>
        <w:t xml:space="preserve">Vol. 116(202), (2015) pp. 199-211. </w:t>
      </w:r>
    </w:p>
    <w:p w14:paraId="0A95839E" w14:textId="47E16ACE" w:rsidR="007434EC" w:rsidRPr="007434EC" w:rsidRDefault="007434EC"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Flatnes, J. E., and Carter, M. R. </w:t>
      </w:r>
      <w:r>
        <w:rPr>
          <w:rFonts w:cstheme="minorHAnsi"/>
          <w:i/>
          <w:noProof/>
          <w:sz w:val="24"/>
          <w:szCs w:val="24"/>
        </w:rPr>
        <w:t xml:space="preserve">Fail-safe index insurance without the cost: a satellite based conditional audit approach. </w:t>
      </w:r>
      <w:r>
        <w:rPr>
          <w:rFonts w:cstheme="minorHAnsi"/>
          <w:noProof/>
          <w:sz w:val="24"/>
          <w:szCs w:val="24"/>
        </w:rPr>
        <w:t xml:space="preserve">Working Paper (The Ohio State University, 2015). </w:t>
      </w:r>
    </w:p>
    <w:p w14:paraId="061E1EEE"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Ghana Living Standards Survey Round 6: Main Report. Ghana Statistical Service. 2014. Available at: http://www.statsghana.gov.gh/docfiles/glss6/GLSS6_Main%20Report.pdf (last accessed 07 June 2018). </w:t>
      </w:r>
    </w:p>
    <w:p w14:paraId="4C954DFA" w14:textId="77777777" w:rsidR="00755BD1" w:rsidRPr="009C1DE2"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Gine, X. and Yang, D. ‘Insurance, credit, and technology adoption: Field experimental evidence from Malawi’, </w:t>
      </w:r>
      <w:r>
        <w:rPr>
          <w:rFonts w:cstheme="minorHAnsi"/>
          <w:i/>
          <w:noProof/>
          <w:sz w:val="24"/>
          <w:szCs w:val="24"/>
        </w:rPr>
        <w:t xml:space="preserve">Journal of Development Economics, </w:t>
      </w:r>
      <w:r>
        <w:rPr>
          <w:rFonts w:cstheme="minorHAnsi"/>
          <w:noProof/>
          <w:sz w:val="24"/>
          <w:szCs w:val="24"/>
        </w:rPr>
        <w:t>Vol. 80(2009):1-11.</w:t>
      </w:r>
    </w:p>
    <w:p w14:paraId="16DD4E88"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Karlan, D., Osei, R., Osei-akoto, I. and Udry. C. 'Agricultural Decions After Relaxing Credit and Risk Constraints', </w:t>
      </w:r>
      <w:r w:rsidRPr="00540443">
        <w:rPr>
          <w:rFonts w:cstheme="minorHAnsi"/>
          <w:i/>
          <w:iCs/>
          <w:noProof/>
          <w:sz w:val="24"/>
          <w:szCs w:val="24"/>
        </w:rPr>
        <w:t>Quarterly Journal of Economics,</w:t>
      </w:r>
      <w:r w:rsidRPr="00540443">
        <w:rPr>
          <w:rFonts w:cstheme="minorHAnsi"/>
          <w:noProof/>
          <w:sz w:val="24"/>
          <w:szCs w:val="24"/>
        </w:rPr>
        <w:t xml:space="preserve"> Vol. 129(2), (2014) pp. 597–652.</w:t>
      </w:r>
    </w:p>
    <w:p w14:paraId="431A81A9"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Miranda, M.J. and Farrin, K. 'Index Insurance for Developing Countries', </w:t>
      </w:r>
      <w:r w:rsidRPr="00540443">
        <w:rPr>
          <w:rFonts w:cstheme="minorHAnsi"/>
          <w:i/>
          <w:iCs/>
          <w:noProof/>
          <w:sz w:val="24"/>
          <w:szCs w:val="24"/>
        </w:rPr>
        <w:t>Applied Economic Perspectives and Policy,</w:t>
      </w:r>
      <w:r w:rsidRPr="00540443">
        <w:rPr>
          <w:rFonts w:cstheme="minorHAnsi"/>
          <w:noProof/>
          <w:sz w:val="24"/>
          <w:szCs w:val="24"/>
        </w:rPr>
        <w:t xml:space="preserve"> Vol. 34(3), (2012) pp. 391–427.  </w:t>
      </w:r>
    </w:p>
    <w:p w14:paraId="6AED0A75" w14:textId="77777777" w:rsidR="00755BD1" w:rsidRDefault="00755BD1" w:rsidP="00755BD1">
      <w:pPr>
        <w:widowControl w:val="0"/>
        <w:autoSpaceDE w:val="0"/>
        <w:autoSpaceDN w:val="0"/>
        <w:adjustRightInd w:val="0"/>
        <w:spacing w:after="0" w:line="360" w:lineRule="auto"/>
        <w:ind w:left="480" w:hanging="480"/>
        <w:rPr>
          <w:rFonts w:cstheme="minorHAnsi"/>
          <w:noProof/>
          <w:sz w:val="24"/>
          <w:szCs w:val="24"/>
        </w:rPr>
      </w:pPr>
      <w:r w:rsidRPr="00540443">
        <w:rPr>
          <w:rFonts w:cstheme="minorHAnsi"/>
          <w:noProof/>
          <w:sz w:val="24"/>
          <w:szCs w:val="24"/>
        </w:rPr>
        <w:t xml:space="preserve">Mishra, K., Gallenstein, R., Sam, A.G., Miranda, M.J., Toledo, P., and Mulangu, F. </w:t>
      </w:r>
      <w:r w:rsidRPr="00540443">
        <w:rPr>
          <w:rFonts w:cstheme="minorHAnsi"/>
          <w:i/>
          <w:noProof/>
          <w:sz w:val="24"/>
          <w:szCs w:val="24"/>
        </w:rPr>
        <w:t>You are Approved! Insured Loans Improve Credit Access and Technology Adoption of Ghanaian Farmers</w:t>
      </w:r>
      <w:r w:rsidRPr="00540443">
        <w:rPr>
          <w:rFonts w:cstheme="minorHAnsi"/>
          <w:noProof/>
          <w:sz w:val="24"/>
          <w:szCs w:val="24"/>
        </w:rPr>
        <w:t xml:space="preserve">, Working Paper </w:t>
      </w:r>
      <w:r>
        <w:rPr>
          <w:rFonts w:cstheme="minorHAnsi"/>
          <w:noProof/>
          <w:sz w:val="24"/>
          <w:szCs w:val="24"/>
        </w:rPr>
        <w:t>(The Ohio State University: 2018</w:t>
      </w:r>
      <w:r w:rsidRPr="00540443">
        <w:rPr>
          <w:rFonts w:cstheme="minorHAnsi"/>
          <w:noProof/>
          <w:sz w:val="24"/>
          <w:szCs w:val="24"/>
        </w:rPr>
        <w:t xml:space="preserve">). </w:t>
      </w:r>
    </w:p>
    <w:p w14:paraId="22B71115" w14:textId="77777777" w:rsidR="00755BD1" w:rsidRPr="009C1DE2" w:rsidRDefault="00755BD1" w:rsidP="00755BD1">
      <w:pPr>
        <w:widowControl w:val="0"/>
        <w:autoSpaceDE w:val="0"/>
        <w:autoSpaceDN w:val="0"/>
        <w:adjustRightInd w:val="0"/>
        <w:spacing w:after="0" w:line="360" w:lineRule="auto"/>
        <w:ind w:left="480" w:hanging="480"/>
        <w:rPr>
          <w:rFonts w:cstheme="minorHAnsi"/>
          <w:noProof/>
          <w:sz w:val="24"/>
          <w:szCs w:val="24"/>
        </w:rPr>
      </w:pPr>
      <w:r>
        <w:rPr>
          <w:rFonts w:cstheme="minorHAnsi"/>
          <w:noProof/>
          <w:sz w:val="24"/>
          <w:szCs w:val="24"/>
        </w:rPr>
        <w:t xml:space="preserve">Mobarak, A. M., and Rosenzweig, M. </w:t>
      </w:r>
      <w:r>
        <w:rPr>
          <w:rFonts w:cstheme="minorHAnsi"/>
          <w:i/>
          <w:noProof/>
          <w:sz w:val="24"/>
          <w:szCs w:val="24"/>
        </w:rPr>
        <w:t>Selling formal insurance to the informally insured,</w:t>
      </w:r>
      <w:r>
        <w:rPr>
          <w:rFonts w:cstheme="minorHAnsi"/>
          <w:noProof/>
          <w:sz w:val="24"/>
          <w:szCs w:val="24"/>
        </w:rPr>
        <w:t xml:space="preserve"> Working Paper (Economic Growth Center, No. 1007: 2012). </w:t>
      </w:r>
    </w:p>
    <w:p w14:paraId="64171FBA"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p>
    <w:p w14:paraId="66291F40" w14:textId="77777777" w:rsidR="00755BD1" w:rsidRPr="00540443" w:rsidRDefault="00755BD1" w:rsidP="00755BD1">
      <w:pPr>
        <w:widowControl w:val="0"/>
        <w:autoSpaceDE w:val="0"/>
        <w:autoSpaceDN w:val="0"/>
        <w:adjustRightInd w:val="0"/>
        <w:spacing w:after="0" w:line="360" w:lineRule="auto"/>
        <w:ind w:left="480" w:hanging="480"/>
        <w:rPr>
          <w:rFonts w:cstheme="minorHAnsi"/>
          <w:noProof/>
          <w:sz w:val="24"/>
          <w:szCs w:val="24"/>
        </w:rPr>
      </w:pPr>
    </w:p>
    <w:p w14:paraId="52A0BDAE" w14:textId="77777777" w:rsidR="00755BD1" w:rsidRPr="006F7CB8" w:rsidRDefault="00755BD1" w:rsidP="00755BD1">
      <w:pPr>
        <w:rPr>
          <w:sz w:val="28"/>
        </w:rPr>
      </w:pPr>
    </w:p>
    <w:p w14:paraId="7B999778" w14:textId="77777777" w:rsidR="00755BD1" w:rsidRDefault="00755BD1" w:rsidP="00755BD1"/>
    <w:p w14:paraId="79EF28C5" w14:textId="77777777" w:rsidR="00325F05" w:rsidRPr="00540443" w:rsidRDefault="00325F05" w:rsidP="00325F05">
      <w:pPr>
        <w:widowControl w:val="0"/>
        <w:autoSpaceDE w:val="0"/>
        <w:autoSpaceDN w:val="0"/>
        <w:adjustRightInd w:val="0"/>
        <w:spacing w:after="0" w:line="360" w:lineRule="auto"/>
        <w:ind w:left="480" w:hanging="480"/>
        <w:rPr>
          <w:rFonts w:cstheme="minorHAnsi"/>
          <w:noProof/>
          <w:sz w:val="24"/>
          <w:szCs w:val="24"/>
        </w:rPr>
      </w:pPr>
    </w:p>
    <w:p w14:paraId="66FC1243" w14:textId="77777777" w:rsidR="00325F05" w:rsidRPr="00540443" w:rsidRDefault="00325F05" w:rsidP="00325F05">
      <w:pPr>
        <w:widowControl w:val="0"/>
        <w:autoSpaceDE w:val="0"/>
        <w:autoSpaceDN w:val="0"/>
        <w:adjustRightInd w:val="0"/>
        <w:spacing w:after="0" w:line="360" w:lineRule="auto"/>
        <w:ind w:left="480" w:hanging="480"/>
        <w:rPr>
          <w:rFonts w:cstheme="minorHAnsi"/>
          <w:noProof/>
          <w:sz w:val="24"/>
          <w:szCs w:val="24"/>
        </w:rPr>
      </w:pPr>
    </w:p>
    <w:p w14:paraId="6F55888D" w14:textId="77777777" w:rsidR="004C4226" w:rsidRPr="006F7CB8" w:rsidRDefault="004C4226" w:rsidP="004C4226">
      <w:pPr>
        <w:rPr>
          <w:sz w:val="28"/>
        </w:rPr>
      </w:pPr>
    </w:p>
    <w:sectPr w:rsidR="004C4226" w:rsidRPr="006F7CB8">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978F1" w16cid:durableId="1F4605E9"/>
  <w16cid:commentId w16cid:paraId="3716D5E1" w16cid:durableId="1F460695"/>
  <w16cid:commentId w16cid:paraId="694769A0" w16cid:durableId="1F4607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11FEF" w14:textId="77777777" w:rsidR="007D547A" w:rsidRDefault="007D547A" w:rsidP="00C1071F">
      <w:pPr>
        <w:spacing w:after="0" w:line="240" w:lineRule="auto"/>
      </w:pPr>
      <w:r>
        <w:separator/>
      </w:r>
    </w:p>
  </w:endnote>
  <w:endnote w:type="continuationSeparator" w:id="0">
    <w:p w14:paraId="183E59F9" w14:textId="77777777" w:rsidR="007D547A" w:rsidRDefault="007D547A" w:rsidP="00C1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19139"/>
      <w:docPartObj>
        <w:docPartGallery w:val="Page Numbers (Bottom of Page)"/>
        <w:docPartUnique/>
      </w:docPartObj>
    </w:sdtPr>
    <w:sdtEndPr>
      <w:rPr>
        <w:noProof/>
      </w:rPr>
    </w:sdtEndPr>
    <w:sdtContent>
      <w:p w14:paraId="239E8E63" w14:textId="5F49A273" w:rsidR="001E0B3B" w:rsidRDefault="001E0B3B">
        <w:pPr>
          <w:pStyle w:val="Footer"/>
          <w:jc w:val="center"/>
        </w:pPr>
        <w:r>
          <w:fldChar w:fldCharType="begin"/>
        </w:r>
        <w:r>
          <w:instrText xml:space="preserve"> PAGE   \* MERGEFORMAT </w:instrText>
        </w:r>
        <w:r>
          <w:fldChar w:fldCharType="separate"/>
        </w:r>
        <w:r w:rsidR="00F431F8">
          <w:rPr>
            <w:noProof/>
          </w:rPr>
          <w:t>1</w:t>
        </w:r>
        <w:r>
          <w:rPr>
            <w:noProof/>
          </w:rPr>
          <w:fldChar w:fldCharType="end"/>
        </w:r>
      </w:p>
    </w:sdtContent>
  </w:sdt>
  <w:p w14:paraId="4ABE14D7" w14:textId="77777777" w:rsidR="001E0B3B" w:rsidRDefault="001E0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47F36" w14:textId="77777777" w:rsidR="007D547A" w:rsidRDefault="007D547A" w:rsidP="00C1071F">
      <w:pPr>
        <w:spacing w:after="0" w:line="240" w:lineRule="auto"/>
      </w:pPr>
      <w:r>
        <w:separator/>
      </w:r>
    </w:p>
  </w:footnote>
  <w:footnote w:type="continuationSeparator" w:id="0">
    <w:p w14:paraId="57813777" w14:textId="77777777" w:rsidR="007D547A" w:rsidRDefault="007D547A" w:rsidP="00C1071F">
      <w:pPr>
        <w:spacing w:after="0" w:line="240" w:lineRule="auto"/>
      </w:pPr>
      <w:r>
        <w:continuationSeparator/>
      </w:r>
    </w:p>
  </w:footnote>
  <w:footnote w:id="1">
    <w:p w14:paraId="3CC106D8" w14:textId="2BBBE2B8" w:rsidR="00AA7BE3" w:rsidRDefault="00AA7BE3" w:rsidP="00FD1C10">
      <w:pPr>
        <w:pStyle w:val="FootnoteText"/>
        <w:jc w:val="both"/>
      </w:pPr>
      <w:r>
        <w:rPr>
          <w:rStyle w:val="FootnoteReference"/>
        </w:rPr>
        <w:footnoteRef/>
      </w:r>
      <w:r>
        <w:t xml:space="preserve"> Note that we have made two simplifying assumptions in </w:t>
      </w:r>
      <w:r w:rsidR="00184042">
        <w:t>the</w:t>
      </w:r>
      <w:r>
        <w:t xml:space="preserve"> model that we intend to relax in future work. First, we assume that there is only one price shock term. We could alternatively model the price shock as having a covariant and idiosyncratic component as well. Second, we assume that the price shock is uncorrelated with yields; we will discuss this later when we present some initial empirical results.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D51"/>
    <w:multiLevelType w:val="hybridMultilevel"/>
    <w:tmpl w:val="2F66BF40"/>
    <w:lvl w:ilvl="0" w:tplc="F29E3D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164BB2"/>
    <w:multiLevelType w:val="hybridMultilevel"/>
    <w:tmpl w:val="514E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B3F2C"/>
    <w:multiLevelType w:val="hybridMultilevel"/>
    <w:tmpl w:val="B25C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B1D44"/>
    <w:multiLevelType w:val="hybridMultilevel"/>
    <w:tmpl w:val="A35211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2323F1"/>
    <w:multiLevelType w:val="hybridMultilevel"/>
    <w:tmpl w:val="06D68ADE"/>
    <w:lvl w:ilvl="0" w:tplc="F29E3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052A7E"/>
    <w:multiLevelType w:val="hybridMultilevel"/>
    <w:tmpl w:val="E3A02F46"/>
    <w:lvl w:ilvl="0" w:tplc="9F200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B2FE1"/>
    <w:multiLevelType w:val="hybridMultilevel"/>
    <w:tmpl w:val="E746E904"/>
    <w:lvl w:ilvl="0" w:tplc="F29E3D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C6BE4"/>
    <w:multiLevelType w:val="hybridMultilevel"/>
    <w:tmpl w:val="8A36C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54E04"/>
    <w:multiLevelType w:val="hybridMultilevel"/>
    <w:tmpl w:val="68A04CAA"/>
    <w:lvl w:ilvl="0" w:tplc="F29E3D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10661"/>
    <w:multiLevelType w:val="hybridMultilevel"/>
    <w:tmpl w:val="BFF0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E3A88"/>
    <w:multiLevelType w:val="hybridMultilevel"/>
    <w:tmpl w:val="0A76C3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D448FA"/>
    <w:multiLevelType w:val="hybridMultilevel"/>
    <w:tmpl w:val="B6EE4736"/>
    <w:lvl w:ilvl="0" w:tplc="56FA1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474A7"/>
    <w:multiLevelType w:val="hybridMultilevel"/>
    <w:tmpl w:val="BE88F4B4"/>
    <w:lvl w:ilvl="0" w:tplc="3048ADD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6"/>
  </w:num>
  <w:num w:numId="5">
    <w:abstractNumId w:val="3"/>
  </w:num>
  <w:num w:numId="6">
    <w:abstractNumId w:val="10"/>
  </w:num>
  <w:num w:numId="7">
    <w:abstractNumId w:val="0"/>
  </w:num>
  <w:num w:numId="8">
    <w:abstractNumId w:val="12"/>
  </w:num>
  <w:num w:numId="9">
    <w:abstractNumId w:val="7"/>
  </w:num>
  <w:num w:numId="10">
    <w:abstractNumId w:val="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0MzcHYiNzC1MTYyUdpeDU4uLM/DyQAtNaAKoMs3QsAAAA"/>
  </w:docVars>
  <w:rsids>
    <w:rsidRoot w:val="006F7CB8"/>
    <w:rsid w:val="00000A0F"/>
    <w:rsid w:val="00006671"/>
    <w:rsid w:val="00015DA3"/>
    <w:rsid w:val="000239E7"/>
    <w:rsid w:val="00053FA8"/>
    <w:rsid w:val="00087741"/>
    <w:rsid w:val="000955DE"/>
    <w:rsid w:val="000E595E"/>
    <w:rsid w:val="000F369E"/>
    <w:rsid w:val="00112AE9"/>
    <w:rsid w:val="00113885"/>
    <w:rsid w:val="00116CE0"/>
    <w:rsid w:val="001268CC"/>
    <w:rsid w:val="00132279"/>
    <w:rsid w:val="00152D4B"/>
    <w:rsid w:val="00183319"/>
    <w:rsid w:val="00184042"/>
    <w:rsid w:val="0018474A"/>
    <w:rsid w:val="001E0B3B"/>
    <w:rsid w:val="00223EBA"/>
    <w:rsid w:val="002779C5"/>
    <w:rsid w:val="00284B33"/>
    <w:rsid w:val="002C13F6"/>
    <w:rsid w:val="002E3447"/>
    <w:rsid w:val="00314D88"/>
    <w:rsid w:val="00325F05"/>
    <w:rsid w:val="00357057"/>
    <w:rsid w:val="003A6148"/>
    <w:rsid w:val="003B4024"/>
    <w:rsid w:val="003D028F"/>
    <w:rsid w:val="003E628A"/>
    <w:rsid w:val="003E7DD8"/>
    <w:rsid w:val="003F2B94"/>
    <w:rsid w:val="00406548"/>
    <w:rsid w:val="00406E39"/>
    <w:rsid w:val="00424B8E"/>
    <w:rsid w:val="00434D32"/>
    <w:rsid w:val="00435AFE"/>
    <w:rsid w:val="004C4226"/>
    <w:rsid w:val="00513A36"/>
    <w:rsid w:val="00557776"/>
    <w:rsid w:val="0056617A"/>
    <w:rsid w:val="0057513A"/>
    <w:rsid w:val="00591522"/>
    <w:rsid w:val="005C2817"/>
    <w:rsid w:val="005E4414"/>
    <w:rsid w:val="006149B4"/>
    <w:rsid w:val="00614DC3"/>
    <w:rsid w:val="00627CB5"/>
    <w:rsid w:val="00641A83"/>
    <w:rsid w:val="00646DA2"/>
    <w:rsid w:val="00674372"/>
    <w:rsid w:val="00676E74"/>
    <w:rsid w:val="00680059"/>
    <w:rsid w:val="00680089"/>
    <w:rsid w:val="00681A6B"/>
    <w:rsid w:val="006A1BDF"/>
    <w:rsid w:val="006D5CB1"/>
    <w:rsid w:val="006F7CB8"/>
    <w:rsid w:val="007023D1"/>
    <w:rsid w:val="0071206C"/>
    <w:rsid w:val="00737337"/>
    <w:rsid w:val="007434EC"/>
    <w:rsid w:val="00755BD1"/>
    <w:rsid w:val="00763CA3"/>
    <w:rsid w:val="00796333"/>
    <w:rsid w:val="007B563E"/>
    <w:rsid w:val="007D547A"/>
    <w:rsid w:val="007F77BC"/>
    <w:rsid w:val="00802307"/>
    <w:rsid w:val="0080414A"/>
    <w:rsid w:val="00831BC0"/>
    <w:rsid w:val="00897791"/>
    <w:rsid w:val="008B2733"/>
    <w:rsid w:val="008B2DB9"/>
    <w:rsid w:val="008E018B"/>
    <w:rsid w:val="0090513F"/>
    <w:rsid w:val="00922B0F"/>
    <w:rsid w:val="00924FC3"/>
    <w:rsid w:val="00953883"/>
    <w:rsid w:val="009568EF"/>
    <w:rsid w:val="00975637"/>
    <w:rsid w:val="00976532"/>
    <w:rsid w:val="009900AE"/>
    <w:rsid w:val="009B2F1D"/>
    <w:rsid w:val="009B5D02"/>
    <w:rsid w:val="009C4D80"/>
    <w:rsid w:val="009D05B8"/>
    <w:rsid w:val="009D341B"/>
    <w:rsid w:val="009E01C7"/>
    <w:rsid w:val="00A227BC"/>
    <w:rsid w:val="00A22DC0"/>
    <w:rsid w:val="00A51B6A"/>
    <w:rsid w:val="00A524D9"/>
    <w:rsid w:val="00A91EFF"/>
    <w:rsid w:val="00A958E6"/>
    <w:rsid w:val="00AA7BE3"/>
    <w:rsid w:val="00AD715C"/>
    <w:rsid w:val="00B42EE4"/>
    <w:rsid w:val="00B81FE6"/>
    <w:rsid w:val="00BA136E"/>
    <w:rsid w:val="00BA6445"/>
    <w:rsid w:val="00C1071F"/>
    <w:rsid w:val="00C14F34"/>
    <w:rsid w:val="00C23621"/>
    <w:rsid w:val="00C34280"/>
    <w:rsid w:val="00C46726"/>
    <w:rsid w:val="00C473CD"/>
    <w:rsid w:val="00C64C87"/>
    <w:rsid w:val="00C744A2"/>
    <w:rsid w:val="00CB1253"/>
    <w:rsid w:val="00CB3056"/>
    <w:rsid w:val="00CF749D"/>
    <w:rsid w:val="00D034EE"/>
    <w:rsid w:val="00D22370"/>
    <w:rsid w:val="00D25FEB"/>
    <w:rsid w:val="00D77650"/>
    <w:rsid w:val="00D80D0F"/>
    <w:rsid w:val="00D82759"/>
    <w:rsid w:val="00D82B56"/>
    <w:rsid w:val="00D92DC4"/>
    <w:rsid w:val="00DA7384"/>
    <w:rsid w:val="00DB58D8"/>
    <w:rsid w:val="00DC096E"/>
    <w:rsid w:val="00DD11BA"/>
    <w:rsid w:val="00DF5703"/>
    <w:rsid w:val="00E13DEE"/>
    <w:rsid w:val="00E3368C"/>
    <w:rsid w:val="00E65CDD"/>
    <w:rsid w:val="00E71476"/>
    <w:rsid w:val="00E86D66"/>
    <w:rsid w:val="00E9713C"/>
    <w:rsid w:val="00EE181A"/>
    <w:rsid w:val="00EE3C31"/>
    <w:rsid w:val="00F431F8"/>
    <w:rsid w:val="00F50B87"/>
    <w:rsid w:val="00F5142F"/>
    <w:rsid w:val="00F92066"/>
    <w:rsid w:val="00FA3CCB"/>
    <w:rsid w:val="00FB2385"/>
    <w:rsid w:val="00FB54B0"/>
    <w:rsid w:val="00FC7C1B"/>
    <w:rsid w:val="00FD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6F37"/>
  <w15:chartTrackingRefBased/>
  <w15:docId w15:val="{CEDD82F0-8C7D-46C1-85B4-0C54D05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B8"/>
    <w:pPr>
      <w:ind w:left="720"/>
      <w:contextualSpacing/>
    </w:pPr>
  </w:style>
  <w:style w:type="table" w:styleId="TableGrid">
    <w:name w:val="Table Grid"/>
    <w:basedOn w:val="TableNormal"/>
    <w:uiPriority w:val="39"/>
    <w:rsid w:val="00E1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0AE"/>
    <w:rPr>
      <w:color w:val="0563C1" w:themeColor="hyperlink"/>
      <w:u w:val="single"/>
    </w:rPr>
  </w:style>
  <w:style w:type="paragraph" w:styleId="Bibliography">
    <w:name w:val="Bibliography"/>
    <w:basedOn w:val="Normal"/>
    <w:next w:val="Normal"/>
    <w:uiPriority w:val="37"/>
    <w:unhideWhenUsed/>
    <w:rsid w:val="004C4226"/>
    <w:pPr>
      <w:spacing w:after="240" w:line="240" w:lineRule="auto"/>
      <w:ind w:left="720" w:hanging="720"/>
    </w:pPr>
  </w:style>
  <w:style w:type="paragraph" w:styleId="FootnoteText">
    <w:name w:val="footnote text"/>
    <w:basedOn w:val="Normal"/>
    <w:link w:val="FootnoteTextChar"/>
    <w:uiPriority w:val="99"/>
    <w:semiHidden/>
    <w:unhideWhenUsed/>
    <w:rsid w:val="00C10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71F"/>
    <w:rPr>
      <w:sz w:val="20"/>
      <w:szCs w:val="20"/>
    </w:rPr>
  </w:style>
  <w:style w:type="character" w:styleId="FootnoteReference">
    <w:name w:val="footnote reference"/>
    <w:basedOn w:val="DefaultParagraphFont"/>
    <w:uiPriority w:val="99"/>
    <w:semiHidden/>
    <w:unhideWhenUsed/>
    <w:rsid w:val="00C1071F"/>
    <w:rPr>
      <w:vertAlign w:val="superscript"/>
    </w:rPr>
  </w:style>
  <w:style w:type="character" w:styleId="CommentReference">
    <w:name w:val="annotation reference"/>
    <w:basedOn w:val="DefaultParagraphFont"/>
    <w:uiPriority w:val="99"/>
    <w:semiHidden/>
    <w:unhideWhenUsed/>
    <w:rsid w:val="0057513A"/>
    <w:rPr>
      <w:sz w:val="16"/>
      <w:szCs w:val="16"/>
    </w:rPr>
  </w:style>
  <w:style w:type="paragraph" w:styleId="CommentText">
    <w:name w:val="annotation text"/>
    <w:basedOn w:val="Normal"/>
    <w:link w:val="CommentTextChar"/>
    <w:uiPriority w:val="99"/>
    <w:semiHidden/>
    <w:unhideWhenUsed/>
    <w:rsid w:val="0057513A"/>
    <w:pPr>
      <w:spacing w:line="240" w:lineRule="auto"/>
    </w:pPr>
    <w:rPr>
      <w:sz w:val="20"/>
      <w:szCs w:val="20"/>
    </w:rPr>
  </w:style>
  <w:style w:type="character" w:customStyle="1" w:styleId="CommentTextChar">
    <w:name w:val="Comment Text Char"/>
    <w:basedOn w:val="DefaultParagraphFont"/>
    <w:link w:val="CommentText"/>
    <w:uiPriority w:val="99"/>
    <w:semiHidden/>
    <w:rsid w:val="0057513A"/>
    <w:rPr>
      <w:sz w:val="20"/>
      <w:szCs w:val="20"/>
    </w:rPr>
  </w:style>
  <w:style w:type="paragraph" w:styleId="CommentSubject">
    <w:name w:val="annotation subject"/>
    <w:basedOn w:val="CommentText"/>
    <w:next w:val="CommentText"/>
    <w:link w:val="CommentSubjectChar"/>
    <w:uiPriority w:val="99"/>
    <w:semiHidden/>
    <w:unhideWhenUsed/>
    <w:rsid w:val="0057513A"/>
    <w:rPr>
      <w:b/>
      <w:bCs/>
    </w:rPr>
  </w:style>
  <w:style w:type="character" w:customStyle="1" w:styleId="CommentSubjectChar">
    <w:name w:val="Comment Subject Char"/>
    <w:basedOn w:val="CommentTextChar"/>
    <w:link w:val="CommentSubject"/>
    <w:uiPriority w:val="99"/>
    <w:semiHidden/>
    <w:rsid w:val="0057513A"/>
    <w:rPr>
      <w:b/>
      <w:bCs/>
      <w:sz w:val="20"/>
      <w:szCs w:val="20"/>
    </w:rPr>
  </w:style>
  <w:style w:type="paragraph" w:styleId="BalloonText">
    <w:name w:val="Balloon Text"/>
    <w:basedOn w:val="Normal"/>
    <w:link w:val="BalloonTextChar"/>
    <w:uiPriority w:val="99"/>
    <w:semiHidden/>
    <w:unhideWhenUsed/>
    <w:rsid w:val="00575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3A"/>
    <w:rPr>
      <w:rFonts w:ascii="Segoe UI" w:hAnsi="Segoe UI" w:cs="Segoe UI"/>
      <w:sz w:val="18"/>
      <w:szCs w:val="18"/>
    </w:rPr>
  </w:style>
  <w:style w:type="paragraph" w:styleId="Header">
    <w:name w:val="header"/>
    <w:basedOn w:val="Normal"/>
    <w:link w:val="HeaderChar"/>
    <w:uiPriority w:val="99"/>
    <w:unhideWhenUsed/>
    <w:rsid w:val="00D82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56"/>
  </w:style>
  <w:style w:type="paragraph" w:styleId="Footer">
    <w:name w:val="footer"/>
    <w:basedOn w:val="Normal"/>
    <w:link w:val="FooterChar"/>
    <w:uiPriority w:val="99"/>
    <w:unhideWhenUsed/>
    <w:rsid w:val="00D82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56"/>
  </w:style>
  <w:style w:type="character" w:styleId="PlaceholderText">
    <w:name w:val="Placeholder Text"/>
    <w:basedOn w:val="DefaultParagraphFont"/>
    <w:uiPriority w:val="99"/>
    <w:semiHidden/>
    <w:rsid w:val="008E0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enstein@cua.edu" TargetMode="External"/><Relationship Id="rId13" Type="http://schemas.openxmlformats.org/officeDocument/2006/relationships/image" Target="media/image4.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latnes.1@osu.edu" TargetMode="External"/><Relationship Id="rId14" Type="http://schemas.openxmlformats.org/officeDocument/2006/relationships/hyperlink" Target="http://www.fao.org/3/a-i525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45BB-9C7D-4649-9F6F-E6886692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Gallenstein, Richard</cp:lastModifiedBy>
  <cp:revision>2</cp:revision>
  <dcterms:created xsi:type="dcterms:W3CDTF">2018-09-19T20:31:00Z</dcterms:created>
  <dcterms:modified xsi:type="dcterms:W3CDTF">2018-09-19T20:31:00Z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id="XIAmghfT"/&gt;&lt;style id="http://www.zotero.org/styles/american-journal-of-agricultural-economics" hasBibliography="1" bibliographyStyleHasBeenSet="1"/&gt;&lt;prefs&gt;&lt;pref name="fieldType" value="Field"/&gt;</vt:lpwstr>
  </property>
  <property fmtid="{D5CDD505-2E9C-101B-9397-08002B2CF9AE}" pid="3" name="ZOTERO_PREF_2">
    <vt:lpwstr>&lt;pref name="automaticJournalAbbreviations" value="true"/&gt;&lt;pref name="noteType" value="0"/&gt;&lt;/prefs&gt;&lt;/data&gt;</vt:lpwstr>
  </property>
</Properties>
</file>