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817D" w14:textId="496D2A85" w:rsidR="008F26EA" w:rsidRDefault="008F26EA">
      <w:pPr>
        <w:rPr>
          <w:rFonts w:eastAsia="Times New Roman" w:cs="Times New Roman"/>
          <w:color w:val="000000"/>
          <w:sz w:val="32"/>
          <w:szCs w:val="24"/>
          <w:lang w:eastAsia="en-AU"/>
        </w:rPr>
      </w:pPr>
      <w:bookmarkStart w:id="0" w:name="_GoBack"/>
      <w:bookmarkEnd w:id="0"/>
    </w:p>
    <w:p w14:paraId="6B64E047" w14:textId="45447F1C" w:rsidR="008F26EA" w:rsidRDefault="008F26EA">
      <w:pPr>
        <w:rPr>
          <w:rFonts w:eastAsia="Times New Roman" w:cs="Times New Roman"/>
          <w:color w:val="000000"/>
          <w:sz w:val="32"/>
          <w:szCs w:val="24"/>
          <w:lang w:eastAsia="en-AU"/>
        </w:rPr>
      </w:pPr>
    </w:p>
    <w:p w14:paraId="7648FF02" w14:textId="77777777" w:rsidR="00C8380A" w:rsidRDefault="00C8380A">
      <w:pPr>
        <w:rPr>
          <w:rFonts w:eastAsia="Times New Roman" w:cs="Times New Roman"/>
          <w:color w:val="000000"/>
          <w:sz w:val="32"/>
          <w:szCs w:val="24"/>
          <w:lang w:eastAsia="en-AU"/>
        </w:rPr>
      </w:pPr>
    </w:p>
    <w:p w14:paraId="52DAA3B6" w14:textId="7BFD19A7" w:rsidR="009E2B24" w:rsidRPr="00C8380A" w:rsidRDefault="009E2B24" w:rsidP="009E2B24">
      <w:pPr>
        <w:spacing w:after="0" w:line="480" w:lineRule="auto"/>
        <w:jc w:val="center"/>
        <w:rPr>
          <w:rFonts w:eastAsia="Times New Roman" w:cs="Times New Roman"/>
          <w:color w:val="000000"/>
          <w:sz w:val="32"/>
          <w:szCs w:val="24"/>
          <w:lang w:eastAsia="en-AU"/>
        </w:rPr>
      </w:pPr>
      <w:r w:rsidRPr="00C8380A">
        <w:rPr>
          <w:rFonts w:eastAsia="Times New Roman" w:cs="Times New Roman"/>
          <w:color w:val="000000"/>
          <w:sz w:val="32"/>
          <w:szCs w:val="24"/>
          <w:lang w:eastAsia="en-AU"/>
        </w:rPr>
        <w:t xml:space="preserve">An Exploration </w:t>
      </w:r>
      <w:proofErr w:type="gramStart"/>
      <w:r w:rsidRPr="00C8380A">
        <w:rPr>
          <w:rFonts w:eastAsia="Times New Roman" w:cs="Times New Roman"/>
          <w:color w:val="000000"/>
          <w:sz w:val="32"/>
          <w:szCs w:val="24"/>
          <w:lang w:eastAsia="en-AU"/>
        </w:rPr>
        <w:t>Of</w:t>
      </w:r>
      <w:proofErr w:type="gramEnd"/>
      <w:r w:rsidRPr="00C8380A">
        <w:rPr>
          <w:rFonts w:eastAsia="Times New Roman" w:cs="Times New Roman"/>
          <w:color w:val="000000"/>
          <w:sz w:val="32"/>
          <w:szCs w:val="24"/>
          <w:lang w:eastAsia="en-AU"/>
        </w:rPr>
        <w:t xml:space="preserve"> The Innovations </w:t>
      </w:r>
      <w:r w:rsidR="002C1F34">
        <w:rPr>
          <w:rFonts w:eastAsia="Times New Roman" w:cs="Times New Roman"/>
          <w:color w:val="000000"/>
          <w:sz w:val="32"/>
          <w:szCs w:val="24"/>
          <w:lang w:eastAsia="en-AU"/>
        </w:rPr>
        <w:t>In</w:t>
      </w:r>
      <w:r w:rsidRPr="00C8380A">
        <w:rPr>
          <w:rFonts w:eastAsia="Times New Roman" w:cs="Times New Roman"/>
          <w:color w:val="000000"/>
          <w:sz w:val="32"/>
          <w:szCs w:val="24"/>
          <w:lang w:eastAsia="en-AU"/>
        </w:rPr>
        <w:t xml:space="preserve"> Teaching 21</w:t>
      </w:r>
      <w:r w:rsidRPr="00C8380A">
        <w:rPr>
          <w:rFonts w:eastAsia="Times New Roman" w:cs="Times New Roman"/>
          <w:color w:val="000000"/>
          <w:sz w:val="32"/>
          <w:szCs w:val="24"/>
          <w:vertAlign w:val="superscript"/>
          <w:lang w:eastAsia="en-AU"/>
        </w:rPr>
        <w:t>st</w:t>
      </w:r>
      <w:r w:rsidRPr="00C8380A">
        <w:rPr>
          <w:rFonts w:eastAsia="Times New Roman" w:cs="Times New Roman"/>
          <w:color w:val="000000"/>
          <w:sz w:val="32"/>
          <w:szCs w:val="24"/>
          <w:lang w:eastAsia="en-AU"/>
        </w:rPr>
        <w:t xml:space="preserve"> Century Skills </w:t>
      </w:r>
      <w:r w:rsidR="002C1F34">
        <w:rPr>
          <w:rFonts w:eastAsia="Times New Roman" w:cs="Times New Roman"/>
          <w:color w:val="000000"/>
          <w:sz w:val="32"/>
          <w:szCs w:val="24"/>
          <w:lang w:eastAsia="en-AU"/>
        </w:rPr>
        <w:t>Within</w:t>
      </w:r>
      <w:r w:rsidRPr="00C8380A">
        <w:rPr>
          <w:rFonts w:eastAsia="Times New Roman" w:cs="Times New Roman"/>
          <w:color w:val="000000"/>
          <w:sz w:val="32"/>
          <w:szCs w:val="24"/>
          <w:lang w:eastAsia="en-AU"/>
        </w:rPr>
        <w:t xml:space="preserve"> The Australian Tertiary System</w:t>
      </w:r>
    </w:p>
    <w:p w14:paraId="04E96974" w14:textId="77777777" w:rsidR="009E2B24" w:rsidRPr="00C8380A" w:rsidRDefault="009E2B24" w:rsidP="009E2B24">
      <w:pPr>
        <w:spacing w:after="0" w:line="480" w:lineRule="auto"/>
        <w:jc w:val="center"/>
        <w:rPr>
          <w:rFonts w:eastAsia="Times New Roman" w:cs="Times New Roman"/>
          <w:color w:val="000000"/>
          <w:sz w:val="32"/>
          <w:szCs w:val="24"/>
          <w:lang w:eastAsia="en-AU"/>
        </w:rPr>
      </w:pPr>
    </w:p>
    <w:p w14:paraId="26AD9A1B" w14:textId="77777777" w:rsidR="00B97998" w:rsidRPr="00C8380A" w:rsidRDefault="00B97998" w:rsidP="00B97998">
      <w:pPr>
        <w:spacing w:after="0" w:line="480" w:lineRule="auto"/>
        <w:jc w:val="center"/>
        <w:rPr>
          <w:rFonts w:eastAsia="Times New Roman" w:cs="Times New Roman"/>
          <w:color w:val="000000"/>
          <w:szCs w:val="24"/>
          <w:lang w:eastAsia="en-AU"/>
        </w:rPr>
        <w:sectPr w:rsidR="00B97998" w:rsidRPr="00C8380A" w:rsidSect="00B97998">
          <w:footerReference w:type="default" r:id="rId8"/>
          <w:pgSz w:w="11906" w:h="16838"/>
          <w:pgMar w:top="1440" w:right="1440" w:bottom="1440" w:left="1440" w:header="709" w:footer="709" w:gutter="0"/>
          <w:cols w:space="708"/>
          <w:vAlign w:val="center"/>
          <w:titlePg/>
          <w:docGrid w:linePitch="360"/>
        </w:sectPr>
      </w:pPr>
    </w:p>
    <w:p w14:paraId="1914E0F5" w14:textId="7BE8A084" w:rsidR="00384E72" w:rsidRPr="00C8380A" w:rsidRDefault="00384E72" w:rsidP="00523DA9">
      <w:pPr>
        <w:jc w:val="center"/>
        <w:rPr>
          <w:lang w:eastAsia="en-AU"/>
        </w:rPr>
      </w:pPr>
      <w:r w:rsidRPr="00523DA9">
        <w:rPr>
          <w:b/>
          <w:sz w:val="28"/>
          <w:lang w:eastAsia="en-AU"/>
        </w:rPr>
        <w:lastRenderedPageBreak/>
        <w:t>Abstract</w:t>
      </w:r>
    </w:p>
    <w:p w14:paraId="46016F11" w14:textId="3CE8BBDD" w:rsidR="00B97998" w:rsidRPr="00C8380A" w:rsidRDefault="006843BC" w:rsidP="00C8380A">
      <w:pPr>
        <w:spacing w:after="0" w:line="480" w:lineRule="auto"/>
        <w:jc w:val="both"/>
        <w:rPr>
          <w:rFonts w:eastAsia="Times New Roman" w:cs="Times New Roman"/>
          <w:color w:val="000000"/>
          <w:szCs w:val="24"/>
          <w:lang w:eastAsia="en-AU"/>
        </w:rPr>
        <w:sectPr w:rsidR="00B97998" w:rsidRPr="00C8380A" w:rsidSect="00B97998">
          <w:headerReference w:type="first" r:id="rId9"/>
          <w:pgSz w:w="11906" w:h="16838"/>
          <w:pgMar w:top="1440" w:right="1440" w:bottom="1440" w:left="1440" w:header="709" w:footer="709" w:gutter="0"/>
          <w:cols w:space="708"/>
          <w:vAlign w:val="center"/>
          <w:titlePg/>
          <w:docGrid w:linePitch="360"/>
        </w:sectPr>
      </w:pPr>
      <w:r w:rsidRPr="00C8380A">
        <w:rPr>
          <w:rFonts w:eastAsia="Times New Roman" w:cs="Times New Roman"/>
          <w:color w:val="000000"/>
          <w:szCs w:val="24"/>
          <w:lang w:eastAsia="en-AU"/>
        </w:rPr>
        <w:tab/>
      </w:r>
      <w:r w:rsidRPr="00C8380A">
        <w:rPr>
          <w:rFonts w:eastAsia="Times New Roman" w:cs="Times New Roman"/>
          <w:color w:val="000000"/>
          <w:sz w:val="20"/>
          <w:szCs w:val="24"/>
          <w:lang w:eastAsia="en-AU"/>
        </w:rPr>
        <w:t>The modern world is presenting a variety of challenges to the future worker</w:t>
      </w:r>
      <w:r w:rsidR="002C1F34">
        <w:rPr>
          <w:rFonts w:eastAsia="Times New Roman" w:cs="Times New Roman"/>
          <w:color w:val="000000"/>
          <w:sz w:val="20"/>
          <w:szCs w:val="24"/>
          <w:lang w:eastAsia="en-AU"/>
        </w:rPr>
        <w:t>.</w:t>
      </w:r>
      <w:r w:rsidRPr="00C8380A">
        <w:rPr>
          <w:rFonts w:eastAsia="Times New Roman" w:cs="Times New Roman"/>
          <w:color w:val="000000"/>
          <w:sz w:val="20"/>
          <w:szCs w:val="24"/>
          <w:lang w:eastAsia="en-AU"/>
        </w:rPr>
        <w:t xml:space="preserve"> </w:t>
      </w:r>
      <w:r w:rsidR="002C1F34">
        <w:rPr>
          <w:rFonts w:eastAsia="Times New Roman" w:cs="Times New Roman"/>
          <w:color w:val="000000"/>
          <w:sz w:val="20"/>
          <w:szCs w:val="24"/>
          <w:lang w:eastAsia="en-AU"/>
        </w:rPr>
        <w:t>T</w:t>
      </w:r>
      <w:r w:rsidRPr="00C8380A">
        <w:rPr>
          <w:rFonts w:eastAsia="Times New Roman" w:cs="Times New Roman"/>
          <w:color w:val="000000"/>
          <w:sz w:val="20"/>
          <w:szCs w:val="24"/>
          <w:lang w:eastAsia="en-AU"/>
        </w:rPr>
        <w:t xml:space="preserve">o meet </w:t>
      </w:r>
      <w:r w:rsidR="002C1F34">
        <w:rPr>
          <w:rFonts w:eastAsia="Times New Roman" w:cs="Times New Roman"/>
          <w:color w:val="000000"/>
          <w:sz w:val="20"/>
          <w:szCs w:val="24"/>
          <w:lang w:eastAsia="en-AU"/>
        </w:rPr>
        <w:t>the</w:t>
      </w:r>
      <w:r w:rsidRPr="00C8380A">
        <w:rPr>
          <w:rFonts w:eastAsia="Times New Roman" w:cs="Times New Roman"/>
          <w:color w:val="000000"/>
          <w:sz w:val="20"/>
          <w:szCs w:val="24"/>
          <w:lang w:eastAsia="en-AU"/>
        </w:rPr>
        <w:t xml:space="preserve"> challenges</w:t>
      </w:r>
      <w:r w:rsidR="002C1F34">
        <w:rPr>
          <w:rFonts w:eastAsia="Times New Roman" w:cs="Times New Roman"/>
          <w:color w:val="000000"/>
          <w:sz w:val="20"/>
          <w:szCs w:val="24"/>
          <w:lang w:eastAsia="en-AU"/>
        </w:rPr>
        <w:t xml:space="preserve">, </w:t>
      </w:r>
      <w:r w:rsidRPr="00C8380A">
        <w:rPr>
          <w:rFonts w:eastAsia="Times New Roman" w:cs="Times New Roman"/>
          <w:color w:val="000000"/>
          <w:sz w:val="20"/>
          <w:szCs w:val="24"/>
          <w:lang w:eastAsia="en-AU"/>
        </w:rPr>
        <w:t xml:space="preserve">our educational system needs to be </w:t>
      </w:r>
      <w:r w:rsidR="00B97998" w:rsidRPr="00C8380A">
        <w:rPr>
          <w:rFonts w:eastAsia="Times New Roman" w:cs="Times New Roman"/>
          <w:color w:val="000000"/>
          <w:sz w:val="20"/>
          <w:szCs w:val="24"/>
          <w:lang w:eastAsia="en-AU"/>
        </w:rPr>
        <w:t>adapted</w:t>
      </w:r>
      <w:r w:rsidRPr="00C8380A">
        <w:rPr>
          <w:rFonts w:eastAsia="Times New Roman" w:cs="Times New Roman"/>
          <w:color w:val="000000"/>
          <w:sz w:val="20"/>
          <w:szCs w:val="24"/>
          <w:lang w:eastAsia="en-AU"/>
        </w:rPr>
        <w:t xml:space="preserve"> to allow young workers to </w:t>
      </w:r>
      <w:r w:rsidR="00B97998" w:rsidRPr="00C8380A">
        <w:rPr>
          <w:rFonts w:eastAsia="Times New Roman" w:cs="Times New Roman"/>
          <w:color w:val="000000"/>
          <w:sz w:val="20"/>
          <w:szCs w:val="24"/>
          <w:lang w:eastAsia="en-AU"/>
        </w:rPr>
        <w:t>develop the skills required by the modern workplace. By innovating classroom activities and assessments, the tertiary system has an opportunity to engage today’s youth to learn not only the content of their classes but also the skills to navigate an innovative world. While innovative means of educating youth are known and being researched, there</w:t>
      </w:r>
      <w:r w:rsidR="002C1F34">
        <w:rPr>
          <w:rFonts w:eastAsia="Times New Roman" w:cs="Times New Roman"/>
          <w:color w:val="000000"/>
          <w:sz w:val="20"/>
          <w:szCs w:val="24"/>
          <w:lang w:eastAsia="en-AU"/>
        </w:rPr>
        <w:t xml:space="preserve"> appear</w:t>
      </w:r>
      <w:r w:rsidR="00B97998" w:rsidRPr="00C8380A">
        <w:rPr>
          <w:rFonts w:eastAsia="Times New Roman" w:cs="Times New Roman"/>
          <w:color w:val="000000"/>
          <w:sz w:val="20"/>
          <w:szCs w:val="24"/>
          <w:lang w:eastAsia="en-AU"/>
        </w:rPr>
        <w:t xml:space="preserve"> </w:t>
      </w:r>
      <w:r w:rsidR="002C1F34">
        <w:rPr>
          <w:rFonts w:eastAsia="Times New Roman" w:cs="Times New Roman"/>
          <w:color w:val="000000"/>
          <w:sz w:val="20"/>
          <w:szCs w:val="24"/>
          <w:lang w:eastAsia="en-AU"/>
        </w:rPr>
        <w:t>to be</w:t>
      </w:r>
      <w:r w:rsidR="00B97998" w:rsidRPr="00C8380A">
        <w:rPr>
          <w:rFonts w:eastAsia="Times New Roman" w:cs="Times New Roman"/>
          <w:color w:val="000000"/>
          <w:sz w:val="20"/>
          <w:szCs w:val="24"/>
          <w:lang w:eastAsia="en-AU"/>
        </w:rPr>
        <w:t xml:space="preserve"> barriers preventing their widespread adoption in the</w:t>
      </w:r>
      <w:r w:rsidR="002C1F34">
        <w:rPr>
          <w:rFonts w:eastAsia="Times New Roman" w:cs="Times New Roman"/>
          <w:color w:val="000000"/>
          <w:sz w:val="20"/>
          <w:szCs w:val="24"/>
          <w:lang w:eastAsia="en-AU"/>
        </w:rPr>
        <w:t xml:space="preserve"> tertiary</w:t>
      </w:r>
      <w:r w:rsidR="00B97998" w:rsidRPr="00C8380A">
        <w:rPr>
          <w:rFonts w:eastAsia="Times New Roman" w:cs="Times New Roman"/>
          <w:color w:val="000000"/>
          <w:sz w:val="20"/>
          <w:szCs w:val="24"/>
          <w:lang w:eastAsia="en-AU"/>
        </w:rPr>
        <w:t xml:space="preserve"> education sector. Ranging from cultural perceptions on the nature of teaching, a lack of pedagogy training to educational staff, to rigid control of course by the university system. While progress is being made by those engaged with the issue, this case study presents a reflective point to innovators about potential challenges to implementing innovative ideas in an already established industry</w:t>
      </w:r>
      <w:r w:rsidR="00B80CAF">
        <w:rPr>
          <w:rFonts w:eastAsia="Times New Roman" w:cs="Times New Roman"/>
          <w:color w:val="000000"/>
          <w:sz w:val="20"/>
          <w:szCs w:val="24"/>
          <w:lang w:eastAsia="en-AU"/>
        </w:rPr>
        <w:t>.</w:t>
      </w:r>
    </w:p>
    <w:p w14:paraId="679167D6" w14:textId="33287625" w:rsidR="00B97998" w:rsidRPr="00C8380A" w:rsidRDefault="00B97998" w:rsidP="00B97998">
      <w:pPr>
        <w:rPr>
          <w:rFonts w:eastAsia="Times New Roman" w:cs="Times New Roman"/>
          <w:b/>
          <w:bCs/>
          <w:color w:val="000000"/>
          <w:szCs w:val="24"/>
          <w:lang w:eastAsia="en-AU"/>
        </w:rPr>
        <w:sectPr w:rsidR="00B97998" w:rsidRPr="00C8380A" w:rsidSect="00523DA9">
          <w:pgSz w:w="11906" w:h="16838"/>
          <w:pgMar w:top="1440" w:right="1440" w:bottom="1440" w:left="1440" w:header="709" w:footer="709" w:gutter="0"/>
          <w:cols w:space="708"/>
          <w:vAlign w:val="center"/>
          <w:docGrid w:linePitch="360"/>
        </w:sectPr>
      </w:pPr>
    </w:p>
    <w:p w14:paraId="0ECEBFA0" w14:textId="73D590ED" w:rsidR="00384E72" w:rsidRPr="00C8380A" w:rsidRDefault="00384E72" w:rsidP="00647A90">
      <w:pPr>
        <w:pStyle w:val="Heading1"/>
        <w:jc w:val="left"/>
        <w:rPr>
          <w:rFonts w:eastAsia="Times New Roman"/>
          <w:lang w:eastAsia="en-AU"/>
        </w:rPr>
      </w:pPr>
      <w:bookmarkStart w:id="1" w:name="_Toc9106352"/>
      <w:r w:rsidRPr="00C8380A">
        <w:rPr>
          <w:rFonts w:eastAsia="Times New Roman"/>
          <w:lang w:eastAsia="en-AU"/>
        </w:rPr>
        <w:lastRenderedPageBreak/>
        <w:t>Introduction</w:t>
      </w:r>
      <w:bookmarkEnd w:id="1"/>
    </w:p>
    <w:p w14:paraId="2C9A1EFD" w14:textId="3A275A38" w:rsidR="00384E72" w:rsidRPr="00C8380A" w:rsidRDefault="00384E72" w:rsidP="009E2B24">
      <w:pPr>
        <w:spacing w:after="0" w:line="480" w:lineRule="auto"/>
        <w:ind w:firstLine="720"/>
        <w:jc w:val="both"/>
        <w:rPr>
          <w:rFonts w:eastAsia="Times New Roman" w:cs="Times New Roman"/>
          <w:szCs w:val="24"/>
          <w:lang w:eastAsia="en-AU"/>
        </w:rPr>
      </w:pPr>
      <w:r w:rsidRPr="00C8380A">
        <w:rPr>
          <w:rFonts w:eastAsia="Times New Roman" w:cs="Times New Roman"/>
          <w:color w:val="000000"/>
          <w:szCs w:val="24"/>
          <w:lang w:eastAsia="en-AU"/>
        </w:rPr>
        <w:t xml:space="preserve">Change and innovation are </w:t>
      </w:r>
      <w:r w:rsidR="00B7305F" w:rsidRPr="00C8380A">
        <w:rPr>
          <w:rFonts w:eastAsia="Times New Roman" w:cs="Times New Roman"/>
          <w:color w:val="000000"/>
          <w:szCs w:val="24"/>
          <w:lang w:eastAsia="en-AU"/>
        </w:rPr>
        <w:t>realities</w:t>
      </w:r>
      <w:r w:rsidRPr="00C8380A">
        <w:rPr>
          <w:rFonts w:eastAsia="Times New Roman" w:cs="Times New Roman"/>
          <w:color w:val="000000"/>
          <w:szCs w:val="24"/>
          <w:lang w:eastAsia="en-AU"/>
        </w:rPr>
        <w:t xml:space="preserve"> that humanity often appears to have a love-hate relationship with</w:t>
      </w:r>
      <w:r w:rsidR="00B7305F" w:rsidRPr="00C8380A">
        <w:rPr>
          <w:rFonts w:eastAsia="Times New Roman" w:cs="Times New Roman"/>
          <w:color w:val="000000"/>
          <w:szCs w:val="24"/>
          <w:lang w:eastAsia="en-AU"/>
        </w:rPr>
        <w:t>;</w:t>
      </w:r>
      <w:r w:rsidRPr="00C8380A">
        <w:rPr>
          <w:rFonts w:eastAsia="Times New Roman" w:cs="Times New Roman"/>
          <w:color w:val="000000"/>
          <w:szCs w:val="24"/>
          <w:lang w:eastAsia="en-AU"/>
        </w:rPr>
        <w:t xml:space="preserve"> every new technology that affects how one lives their life </w:t>
      </w:r>
      <w:r w:rsidR="00B7305F" w:rsidRPr="00C8380A">
        <w:rPr>
          <w:rFonts w:eastAsia="Times New Roman" w:cs="Times New Roman"/>
          <w:color w:val="000000"/>
          <w:szCs w:val="24"/>
          <w:lang w:eastAsia="en-AU"/>
        </w:rPr>
        <w:t xml:space="preserve">often </w:t>
      </w:r>
      <w:r w:rsidR="00CC76A8" w:rsidRPr="00C8380A">
        <w:rPr>
          <w:rFonts w:eastAsia="Times New Roman" w:cs="Times New Roman"/>
          <w:color w:val="000000"/>
          <w:szCs w:val="24"/>
          <w:lang w:eastAsia="en-AU"/>
        </w:rPr>
        <w:t>spawns</w:t>
      </w:r>
      <w:r w:rsidRPr="00C8380A">
        <w:rPr>
          <w:rFonts w:eastAsia="Times New Roman" w:cs="Times New Roman"/>
          <w:color w:val="000000"/>
          <w:szCs w:val="24"/>
          <w:lang w:eastAsia="en-AU"/>
        </w:rPr>
        <w:t xml:space="preserve"> a wistful romanticism to how things once were. In the modern technological era, this change is happening at an increasing rate</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and while people may object to the need to adjust to the realities of the new world, the momentum is difficult to resist. There </w:t>
      </w:r>
      <w:proofErr w:type="gramStart"/>
      <w:r w:rsidR="002C1F34">
        <w:rPr>
          <w:rFonts w:eastAsia="Times New Roman" w:cs="Times New Roman"/>
          <w:color w:val="000000"/>
          <w:szCs w:val="24"/>
          <w:lang w:eastAsia="en-AU"/>
        </w:rPr>
        <w:t>is</w:t>
      </w:r>
      <w:proofErr w:type="gramEnd"/>
      <w:r w:rsidRPr="00C8380A">
        <w:rPr>
          <w:rFonts w:eastAsia="Times New Roman" w:cs="Times New Roman"/>
          <w:color w:val="000000"/>
          <w:szCs w:val="24"/>
          <w:lang w:eastAsia="en-AU"/>
        </w:rPr>
        <w:t xml:space="preserve"> myriad</w:t>
      </w:r>
      <w:r w:rsidR="002C1F34">
        <w:rPr>
          <w:rFonts w:eastAsia="Times New Roman" w:cs="Times New Roman"/>
          <w:color w:val="000000"/>
          <w:szCs w:val="24"/>
          <w:lang w:eastAsia="en-AU"/>
        </w:rPr>
        <w:t>s</w:t>
      </w:r>
      <w:r w:rsidRPr="00C8380A">
        <w:rPr>
          <w:rFonts w:eastAsia="Times New Roman" w:cs="Times New Roman"/>
          <w:color w:val="000000"/>
          <w:szCs w:val="24"/>
          <w:lang w:eastAsia="en-AU"/>
        </w:rPr>
        <w:t xml:space="preserve"> of studies that indicate that so</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called ‘</w:t>
      </w:r>
      <w:r w:rsidR="004171EA" w:rsidRPr="00C8380A">
        <w:rPr>
          <w:rFonts w:eastAsia="Times New Roman" w:cs="Times New Roman"/>
          <w:color w:val="000000"/>
          <w:szCs w:val="24"/>
          <w:lang w:eastAsia="en-AU"/>
        </w:rPr>
        <w:t>21</w:t>
      </w:r>
      <w:r w:rsidR="004171EA"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century skills’ are ones that will define an individual's success in the economy of tomorrow, and developing these skills in an educational environment is essential for having a </w:t>
      </w:r>
      <w:r w:rsidR="00BE5407" w:rsidRPr="00C8380A">
        <w:rPr>
          <w:rFonts w:eastAsia="Times New Roman" w:cs="Times New Roman"/>
          <w:color w:val="000000"/>
          <w:szCs w:val="24"/>
          <w:lang w:eastAsia="en-AU"/>
        </w:rPr>
        <w:t>well-rounded</w:t>
      </w:r>
      <w:r w:rsidRPr="00C8380A">
        <w:rPr>
          <w:rFonts w:eastAsia="Times New Roman" w:cs="Times New Roman"/>
          <w:color w:val="000000"/>
          <w:szCs w:val="24"/>
          <w:lang w:eastAsia="en-AU"/>
        </w:rPr>
        <w:t xml:space="preserve"> and adjusted innovative future worker.</w:t>
      </w:r>
      <w:r w:rsidR="006843BC" w:rsidRPr="00C8380A">
        <w:rPr>
          <w:rFonts w:eastAsia="Times New Roman" w:cs="Times New Roman"/>
          <w:color w:val="000000"/>
          <w:szCs w:val="24"/>
          <w:lang w:eastAsia="en-AU"/>
        </w:rPr>
        <w:t xml:space="preserve"> This need to prepare our youth to be able to match the jobs of the future </w:t>
      </w:r>
      <w:r w:rsidR="00B7305F" w:rsidRPr="00C8380A">
        <w:rPr>
          <w:rFonts w:eastAsia="Times New Roman" w:cs="Times New Roman"/>
          <w:color w:val="000000"/>
          <w:szCs w:val="24"/>
          <w:lang w:eastAsia="en-AU"/>
        </w:rPr>
        <w:t>has</w:t>
      </w:r>
      <w:r w:rsidR="006843BC" w:rsidRPr="00C8380A">
        <w:rPr>
          <w:rFonts w:eastAsia="Times New Roman" w:cs="Times New Roman"/>
          <w:color w:val="000000"/>
          <w:szCs w:val="24"/>
          <w:lang w:eastAsia="en-AU"/>
        </w:rPr>
        <w:t xml:space="preserve"> already been highlighted as essential with the UN’s </w:t>
      </w:r>
      <w:r w:rsidR="00B7305F" w:rsidRPr="00C8380A">
        <w:rPr>
          <w:rFonts w:eastAsia="Times New Roman" w:cs="Times New Roman"/>
          <w:color w:val="000000"/>
          <w:szCs w:val="24"/>
          <w:lang w:eastAsia="en-AU"/>
        </w:rPr>
        <w:t>Sustainable Development Goal for job growth having a specific target on youth employment</w:t>
      </w:r>
      <w:r w:rsidR="00523DA9">
        <w:rPr>
          <w:rFonts w:eastAsia="Times New Roman" w:cs="Times New Roman"/>
          <w:color w:val="000000"/>
          <w:szCs w:val="24"/>
          <w:lang w:eastAsia="en-AU"/>
        </w:rPr>
        <w:t xml:space="preserve"> (UN, 2015)</w:t>
      </w:r>
      <w:r w:rsidR="00B7305F" w:rsidRPr="00C8380A">
        <w:rPr>
          <w:rFonts w:eastAsia="Times New Roman" w:cs="Times New Roman"/>
          <w:color w:val="000000"/>
          <w:szCs w:val="24"/>
          <w:lang w:eastAsia="en-AU"/>
        </w:rPr>
        <w:t>.</w:t>
      </w:r>
      <w:r w:rsidRPr="00C8380A">
        <w:rPr>
          <w:rFonts w:eastAsia="Times New Roman" w:cs="Times New Roman"/>
          <w:color w:val="000000"/>
          <w:szCs w:val="24"/>
          <w:lang w:eastAsia="en-AU"/>
        </w:rPr>
        <w:t xml:space="preserve"> Therefore, the primary question of this paper is what innovations are being developed for the teaching of 2</w:t>
      </w:r>
      <w:r w:rsidR="004171EA" w:rsidRPr="00C8380A">
        <w:rPr>
          <w:rFonts w:eastAsia="Times New Roman" w:cs="Times New Roman"/>
          <w:color w:val="000000"/>
          <w:szCs w:val="24"/>
          <w:lang w:eastAsia="en-AU"/>
        </w:rPr>
        <w:t>1</w:t>
      </w:r>
      <w:r w:rsidR="004171EA"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century skills in a tertiary environment, as well as an exploration whether there are obstacles preventing these identified innovations from becoming the norm throughout the sector.</w:t>
      </w:r>
    </w:p>
    <w:p w14:paraId="2FA39CCA" w14:textId="14120615" w:rsidR="00384E72" w:rsidRPr="00C8380A" w:rsidRDefault="00384E72" w:rsidP="009E2B24">
      <w:pPr>
        <w:spacing w:after="0" w:line="480" w:lineRule="auto"/>
        <w:ind w:firstLine="720"/>
        <w:jc w:val="both"/>
        <w:rPr>
          <w:rFonts w:eastAsia="Times New Roman" w:cs="Times New Roman"/>
          <w:szCs w:val="24"/>
          <w:lang w:eastAsia="en-AU"/>
        </w:rPr>
      </w:pPr>
      <w:r w:rsidRPr="00C8380A">
        <w:rPr>
          <w:rFonts w:eastAsia="Times New Roman" w:cs="Times New Roman"/>
          <w:color w:val="000000"/>
          <w:szCs w:val="24"/>
          <w:lang w:eastAsia="en-AU"/>
        </w:rPr>
        <w:t>This paper is built upon literature that extensively explores the necessity of the skills for youth</w:t>
      </w:r>
      <w:r w:rsidR="00B7305F" w:rsidRPr="00C8380A">
        <w:rPr>
          <w:rFonts w:eastAsia="Times New Roman" w:cs="Times New Roman"/>
          <w:color w:val="000000"/>
          <w:szCs w:val="24"/>
          <w:lang w:eastAsia="en-AU"/>
        </w:rPr>
        <w:t>,</w:t>
      </w:r>
      <w:r w:rsidRPr="00C8380A">
        <w:rPr>
          <w:rFonts w:eastAsia="Times New Roman" w:cs="Times New Roman"/>
          <w:color w:val="000000"/>
          <w:szCs w:val="24"/>
          <w:lang w:eastAsia="en-AU"/>
        </w:rPr>
        <w:t xml:space="preserve"> as well as posits possible solutions to the training of said students. An extensive literature review will be presented that shows these conclusions, but also highlights that the studies have not looked specifically about what barriers are present to the adoption of these innovation</w:t>
      </w:r>
      <w:r w:rsidR="002C1F34">
        <w:rPr>
          <w:rFonts w:eastAsia="Times New Roman" w:cs="Times New Roman"/>
          <w:color w:val="000000"/>
          <w:szCs w:val="24"/>
          <w:lang w:eastAsia="en-AU"/>
        </w:rPr>
        <w:t>s</w:t>
      </w:r>
      <w:r w:rsidRPr="00C8380A">
        <w:rPr>
          <w:rFonts w:eastAsia="Times New Roman" w:cs="Times New Roman"/>
          <w:color w:val="000000"/>
          <w:szCs w:val="24"/>
          <w:lang w:eastAsia="en-AU"/>
        </w:rPr>
        <w:t xml:space="preserve"> in the geographic area in focus within this paper, Australia. To further understand the local context about the implementation of the identified innovations, multiple interviews were conducted with educational professionals to get their perspectives on </w:t>
      </w:r>
      <w:r w:rsidR="00B7305F" w:rsidRPr="00C8380A">
        <w:rPr>
          <w:rFonts w:eastAsia="Times New Roman" w:cs="Times New Roman"/>
          <w:color w:val="000000"/>
          <w:szCs w:val="24"/>
          <w:lang w:eastAsia="en-AU"/>
        </w:rPr>
        <w:t>innovation in their sector</w:t>
      </w:r>
      <w:r w:rsidRPr="00C8380A">
        <w:rPr>
          <w:rFonts w:eastAsia="Times New Roman" w:cs="Times New Roman"/>
          <w:color w:val="000000"/>
          <w:szCs w:val="24"/>
          <w:lang w:eastAsia="en-AU"/>
        </w:rPr>
        <w:t>. From these interviews, it can be determined that 21</w:t>
      </w:r>
      <w:r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century skills and the teaching of them are important goals for preparing the workers of tomorrow. In addition to reinforcing the conclusions of the literature, it was also determined that there are barriers to the adoptions of these </w:t>
      </w:r>
      <w:r w:rsidR="006843BC" w:rsidRPr="00C8380A">
        <w:rPr>
          <w:rFonts w:eastAsia="Times New Roman" w:cs="Times New Roman"/>
          <w:color w:val="000000"/>
          <w:szCs w:val="24"/>
          <w:lang w:eastAsia="en-AU"/>
        </w:rPr>
        <w:t>practises,</w:t>
      </w:r>
      <w:r w:rsidRPr="00C8380A">
        <w:rPr>
          <w:rFonts w:eastAsia="Times New Roman" w:cs="Times New Roman"/>
          <w:color w:val="000000"/>
          <w:szCs w:val="24"/>
          <w:lang w:eastAsia="en-AU"/>
        </w:rPr>
        <w:t xml:space="preserve"> but progress is being made in the tertiary industry.</w:t>
      </w:r>
    </w:p>
    <w:p w14:paraId="32C2B2CC" w14:textId="77777777" w:rsidR="00384E72" w:rsidRPr="00C8380A" w:rsidRDefault="00384E72" w:rsidP="00384E72">
      <w:pPr>
        <w:spacing w:after="0" w:line="240" w:lineRule="auto"/>
        <w:rPr>
          <w:rFonts w:eastAsia="Times New Roman" w:cs="Times New Roman"/>
          <w:szCs w:val="24"/>
          <w:lang w:eastAsia="en-AU"/>
        </w:rPr>
      </w:pPr>
    </w:p>
    <w:p w14:paraId="72520589" w14:textId="77777777" w:rsidR="00384E72" w:rsidRPr="00C8380A" w:rsidRDefault="00384E72" w:rsidP="00FF5090">
      <w:pPr>
        <w:pStyle w:val="Heading1"/>
        <w:rPr>
          <w:rFonts w:eastAsia="Times New Roman"/>
          <w:lang w:eastAsia="en-AU"/>
        </w:rPr>
      </w:pPr>
      <w:bookmarkStart w:id="2" w:name="_Toc9106353"/>
      <w:r w:rsidRPr="00C8380A">
        <w:rPr>
          <w:rFonts w:eastAsia="Times New Roman"/>
          <w:lang w:eastAsia="en-AU"/>
        </w:rPr>
        <w:lastRenderedPageBreak/>
        <w:t>Literature Review</w:t>
      </w:r>
      <w:bookmarkEnd w:id="2"/>
    </w:p>
    <w:p w14:paraId="5BF0C4CF" w14:textId="7821845E" w:rsidR="00384E72" w:rsidRPr="00C8380A" w:rsidRDefault="00384E72" w:rsidP="009E2B24">
      <w:pPr>
        <w:spacing w:after="0" w:line="480" w:lineRule="auto"/>
        <w:ind w:firstLine="720"/>
        <w:jc w:val="both"/>
        <w:rPr>
          <w:rFonts w:eastAsia="Times New Roman" w:cs="Times New Roman"/>
          <w:szCs w:val="24"/>
          <w:lang w:eastAsia="en-AU"/>
        </w:rPr>
      </w:pPr>
      <w:r w:rsidRPr="00C8380A">
        <w:rPr>
          <w:rFonts w:eastAsia="Times New Roman" w:cs="Times New Roman"/>
          <w:color w:val="000000"/>
          <w:szCs w:val="24"/>
          <w:lang w:eastAsia="en-AU"/>
        </w:rPr>
        <w:t>The changing nature of the modern economy is something that has been known for a long time. The rapid pace of industrialisation starting in the late 1700s precipitated vast changes work for the common citizen with large movements of labour from the field to the factory. Th</w:t>
      </w:r>
      <w:r w:rsidR="002C1F34">
        <w:rPr>
          <w:rFonts w:eastAsia="Times New Roman" w:cs="Times New Roman"/>
          <w:color w:val="000000"/>
          <w:szCs w:val="24"/>
          <w:lang w:eastAsia="en-AU"/>
        </w:rPr>
        <w:t>ese changes</w:t>
      </w:r>
      <w:r w:rsidRPr="00C8380A">
        <w:rPr>
          <w:rFonts w:eastAsia="Times New Roman" w:cs="Times New Roman"/>
          <w:color w:val="000000"/>
          <w:szCs w:val="24"/>
          <w:lang w:eastAsia="en-AU"/>
        </w:rPr>
        <w:t xml:space="preserve"> precipitated the need for a new type of worker who was familiar with repetition as well as basic level contents of reading and arithmetic (</w:t>
      </w:r>
      <w:r w:rsidR="009D7D1F" w:rsidRPr="00C8380A">
        <w:rPr>
          <w:rFonts w:eastAsia="Times New Roman" w:cs="Times New Roman"/>
          <w:color w:val="000000"/>
          <w:szCs w:val="24"/>
          <w:lang w:eastAsia="en-AU"/>
        </w:rPr>
        <w:t xml:space="preserve">Autor, Levy, &amp; </w:t>
      </w:r>
      <w:proofErr w:type="spellStart"/>
      <w:r w:rsidR="009D7D1F" w:rsidRPr="00C8380A">
        <w:rPr>
          <w:rFonts w:eastAsia="Times New Roman" w:cs="Times New Roman"/>
          <w:color w:val="000000"/>
          <w:szCs w:val="24"/>
          <w:lang w:eastAsia="en-AU"/>
        </w:rPr>
        <w:t>Murname</w:t>
      </w:r>
      <w:proofErr w:type="spellEnd"/>
      <w:r w:rsidR="009D7D1F" w:rsidRPr="00C8380A">
        <w:rPr>
          <w:rFonts w:eastAsia="Times New Roman" w:cs="Times New Roman"/>
          <w:color w:val="000000"/>
          <w:szCs w:val="24"/>
          <w:lang w:eastAsia="en-AU"/>
        </w:rPr>
        <w:t>, 2003</w:t>
      </w:r>
      <w:r w:rsidRPr="00C8380A">
        <w:rPr>
          <w:rFonts w:eastAsia="Times New Roman" w:cs="Times New Roman"/>
          <w:color w:val="000000"/>
          <w:szCs w:val="24"/>
          <w:lang w:eastAsia="en-AU"/>
        </w:rPr>
        <w:t>) as from this need developed an international norm of universal education to develop these skills and areas of knowledge. With continued technological throughout the 20th century, particularly following the Second World War, the nature of work shifted again with many of the major economies developing from ones of manufacturing to service. With the shift to a service-based economy the educational system shifted again to meet the need of the service worker with a large expansion of tertiary institutions and programs training the professionals of the age; doctors, lawyers, analysts, business executives, etc. (</w:t>
      </w:r>
      <w:r w:rsidR="009D7D1F" w:rsidRPr="00C8380A">
        <w:rPr>
          <w:rFonts w:eastAsia="Times New Roman" w:cs="Times New Roman"/>
          <w:color w:val="000000"/>
          <w:szCs w:val="24"/>
          <w:lang w:eastAsia="en-AU"/>
        </w:rPr>
        <w:t xml:space="preserve">Autor et al, 2003; Griffin, Care, &amp; </w:t>
      </w:r>
      <w:proofErr w:type="gramStart"/>
      <w:r w:rsidR="009D7D1F" w:rsidRPr="00C8380A">
        <w:rPr>
          <w:rFonts w:eastAsia="Times New Roman" w:cs="Times New Roman"/>
          <w:color w:val="000000"/>
          <w:szCs w:val="24"/>
          <w:lang w:eastAsia="en-AU"/>
        </w:rPr>
        <w:t>McGaw,  20</w:t>
      </w:r>
      <w:r w:rsidR="00480E0C" w:rsidRPr="00C8380A">
        <w:rPr>
          <w:rFonts w:eastAsia="Times New Roman" w:cs="Times New Roman"/>
          <w:color w:val="000000"/>
          <w:szCs w:val="24"/>
          <w:lang w:eastAsia="en-AU"/>
        </w:rPr>
        <w:t>12</w:t>
      </w:r>
      <w:proofErr w:type="gramEnd"/>
      <w:r w:rsidRPr="00C8380A">
        <w:rPr>
          <w:rFonts w:eastAsia="Times New Roman" w:cs="Times New Roman"/>
          <w:color w:val="000000"/>
          <w:szCs w:val="24"/>
          <w:lang w:eastAsia="en-AU"/>
        </w:rPr>
        <w:t>). It has now been identified that we are in another shift of economic reality with Industry 4.0 indicating that developed economies are moving to ‘information economies’  and much like with previous epochs of economic history, the education required for those working in this environment will need to change and adapt as well (</w:t>
      </w:r>
      <w:r w:rsidR="00480E0C" w:rsidRPr="00C8380A">
        <w:rPr>
          <w:rFonts w:eastAsia="Times New Roman" w:cs="Times New Roman"/>
          <w:color w:val="000000"/>
          <w:szCs w:val="24"/>
          <w:lang w:eastAsia="en-AU"/>
        </w:rPr>
        <w:t>Griffin et al., 2012</w:t>
      </w:r>
      <w:r w:rsidRPr="00C8380A">
        <w:rPr>
          <w:rFonts w:eastAsia="Times New Roman" w:cs="Times New Roman"/>
          <w:color w:val="000000"/>
          <w:szCs w:val="24"/>
          <w:lang w:eastAsia="en-AU"/>
        </w:rPr>
        <w:t>).</w:t>
      </w:r>
    </w:p>
    <w:p w14:paraId="2D798E68" w14:textId="42B6250A" w:rsidR="00384E72" w:rsidRPr="00C8380A" w:rsidRDefault="00384E72" w:rsidP="009E2B24">
      <w:pPr>
        <w:spacing w:after="0" w:line="480" w:lineRule="auto"/>
        <w:jc w:val="both"/>
        <w:rPr>
          <w:rFonts w:eastAsia="Times New Roman" w:cs="Times New Roman"/>
          <w:color w:val="000000"/>
          <w:szCs w:val="24"/>
          <w:lang w:eastAsia="en-AU"/>
        </w:rPr>
      </w:pPr>
      <w:r w:rsidRPr="00C8380A">
        <w:rPr>
          <w:rFonts w:eastAsia="Times New Roman" w:cs="Times New Roman"/>
          <w:color w:val="000000"/>
          <w:szCs w:val="24"/>
          <w:lang w:eastAsia="en-AU"/>
        </w:rPr>
        <w:tab/>
        <w:t>When considering the nature of the adaptation that is needed to meet the demands of the information economy, researchers must first identify what skills the most successful in this age should possess to be able to navigate the new challenges. It has posited that the changes in the economy will mean that workers will not be working for one company for most of their career, instead</w:t>
      </w:r>
      <w:r w:rsidR="002C1F34">
        <w:rPr>
          <w:rFonts w:eastAsia="Times New Roman" w:cs="Times New Roman"/>
          <w:color w:val="000000"/>
          <w:szCs w:val="24"/>
          <w:lang w:eastAsia="en-AU"/>
        </w:rPr>
        <w:t xml:space="preserve">, moving </w:t>
      </w:r>
      <w:r w:rsidRPr="00C8380A">
        <w:rPr>
          <w:rFonts w:eastAsia="Times New Roman" w:cs="Times New Roman"/>
          <w:color w:val="000000"/>
          <w:szCs w:val="24"/>
          <w:lang w:eastAsia="en-AU"/>
        </w:rPr>
        <w:t>through over a dozen different employers by average (</w:t>
      </w:r>
      <w:r w:rsidR="00480E0C" w:rsidRPr="00C8380A">
        <w:rPr>
          <w:rFonts w:eastAsia="Times New Roman" w:cs="Times New Roman"/>
          <w:color w:val="000000"/>
          <w:szCs w:val="24"/>
          <w:lang w:eastAsia="en-AU"/>
        </w:rPr>
        <w:t>Cappelli, P., 1999</w:t>
      </w:r>
      <w:r w:rsidRPr="00C8380A">
        <w:rPr>
          <w:rFonts w:eastAsia="Times New Roman" w:cs="Times New Roman"/>
          <w:color w:val="000000"/>
          <w:szCs w:val="24"/>
          <w:lang w:eastAsia="en-AU"/>
        </w:rPr>
        <w:t>). This movement means that adaptability, critical thinking, and an ability to learn are essential as the modern worker will constantly be exposed to new scenarios (</w:t>
      </w:r>
      <w:proofErr w:type="spellStart"/>
      <w:r w:rsidR="00480E0C" w:rsidRPr="00C8380A">
        <w:rPr>
          <w:rFonts w:eastAsia="Times New Roman" w:cs="Times New Roman"/>
          <w:color w:val="000000"/>
          <w:szCs w:val="24"/>
          <w:lang w:eastAsia="en-AU"/>
        </w:rPr>
        <w:t>Trilley</w:t>
      </w:r>
      <w:proofErr w:type="spellEnd"/>
      <w:r w:rsidR="00480E0C" w:rsidRPr="00C8380A">
        <w:rPr>
          <w:rFonts w:eastAsia="Times New Roman" w:cs="Times New Roman"/>
          <w:color w:val="000000"/>
          <w:szCs w:val="24"/>
          <w:lang w:eastAsia="en-AU"/>
        </w:rPr>
        <w:t>, &amp; Fadel, 2009; Griffin et al., 2012</w:t>
      </w:r>
      <w:r w:rsidRPr="00C8380A">
        <w:rPr>
          <w:rFonts w:eastAsia="Times New Roman" w:cs="Times New Roman"/>
          <w:color w:val="000000"/>
          <w:szCs w:val="24"/>
          <w:lang w:eastAsia="en-AU"/>
        </w:rPr>
        <w:t xml:space="preserve">). With the complexity of tasks that face modern professionals, it is the case that it is rare for a single worker to have all the competencies and knowledge to deliver the best results; therefore a </w:t>
      </w:r>
      <w:r w:rsidRPr="00C8380A">
        <w:rPr>
          <w:rFonts w:eastAsia="Times New Roman" w:cs="Times New Roman"/>
          <w:color w:val="000000"/>
          <w:szCs w:val="24"/>
          <w:lang w:eastAsia="en-AU"/>
        </w:rPr>
        <w:lastRenderedPageBreak/>
        <w:t xml:space="preserve">strong ability to collaborate and work as part of team mark the best employees for an organisation. The world in the new information economy is incredibly integrated, which means that workers must </w:t>
      </w:r>
      <w:r w:rsidR="009975EE" w:rsidRPr="00C8380A">
        <w:rPr>
          <w:rFonts w:eastAsia="Times New Roman" w:cs="Times New Roman"/>
          <w:color w:val="000000"/>
          <w:szCs w:val="24"/>
          <w:lang w:eastAsia="en-AU"/>
        </w:rPr>
        <w:t>understand</w:t>
      </w:r>
      <w:r w:rsidRPr="00C8380A">
        <w:rPr>
          <w:rFonts w:eastAsia="Times New Roman" w:cs="Times New Roman"/>
          <w:color w:val="000000"/>
          <w:szCs w:val="24"/>
          <w:lang w:eastAsia="en-AU"/>
        </w:rPr>
        <w:t xml:space="preserve"> the importance of networking as well as a sense of global citizenship so that they are better able to connect with colleagues from around the world (</w:t>
      </w:r>
      <w:proofErr w:type="spellStart"/>
      <w:r w:rsidR="00480E0C" w:rsidRPr="00C8380A">
        <w:rPr>
          <w:rFonts w:eastAsia="Times New Roman" w:cs="Times New Roman"/>
          <w:color w:val="000000"/>
          <w:szCs w:val="24"/>
          <w:lang w:eastAsia="en-AU"/>
        </w:rPr>
        <w:t>Trilley</w:t>
      </w:r>
      <w:proofErr w:type="spellEnd"/>
      <w:r w:rsidR="00480E0C" w:rsidRPr="00C8380A">
        <w:rPr>
          <w:rFonts w:eastAsia="Times New Roman" w:cs="Times New Roman"/>
          <w:color w:val="000000"/>
          <w:szCs w:val="24"/>
          <w:lang w:eastAsia="en-AU"/>
        </w:rPr>
        <w:t xml:space="preserve">, &amp; Fadel, 2009; </w:t>
      </w:r>
      <w:r w:rsidR="00BD2C6E" w:rsidRPr="00C8380A">
        <w:rPr>
          <w:rFonts w:eastAsia="Times New Roman" w:cs="Times New Roman"/>
          <w:color w:val="000000"/>
          <w:szCs w:val="24"/>
          <w:lang w:eastAsia="en-AU"/>
        </w:rPr>
        <w:t>Wagner</w:t>
      </w:r>
      <w:r w:rsidR="00C8380A" w:rsidRPr="00C8380A">
        <w:rPr>
          <w:rFonts w:eastAsia="Times New Roman" w:cs="Times New Roman"/>
          <w:color w:val="000000"/>
          <w:szCs w:val="24"/>
          <w:lang w:eastAsia="en-AU"/>
        </w:rPr>
        <w:t>,</w:t>
      </w:r>
      <w:r w:rsidR="00BD2C6E" w:rsidRPr="00C8380A">
        <w:rPr>
          <w:rFonts w:eastAsia="Times New Roman" w:cs="Times New Roman"/>
          <w:color w:val="000000"/>
          <w:szCs w:val="24"/>
          <w:lang w:eastAsia="en-AU"/>
        </w:rPr>
        <w:t xml:space="preserve"> &amp; </w:t>
      </w:r>
      <w:proofErr w:type="spellStart"/>
      <w:r w:rsidR="00BD2C6E" w:rsidRPr="00C8380A">
        <w:rPr>
          <w:rFonts w:eastAsia="Times New Roman" w:cs="Times New Roman"/>
          <w:color w:val="000000"/>
          <w:szCs w:val="24"/>
          <w:lang w:eastAsia="en-AU"/>
        </w:rPr>
        <w:t>Dintersmith</w:t>
      </w:r>
      <w:proofErr w:type="spellEnd"/>
      <w:r w:rsidR="00BD2C6E" w:rsidRPr="00C8380A">
        <w:rPr>
          <w:rFonts w:eastAsia="Times New Roman" w:cs="Times New Roman"/>
          <w:color w:val="000000"/>
          <w:szCs w:val="24"/>
          <w:lang w:eastAsia="en-AU"/>
        </w:rPr>
        <w:t>, 2015</w:t>
      </w:r>
      <w:r w:rsidRPr="00C8380A">
        <w:rPr>
          <w:rFonts w:eastAsia="Times New Roman" w:cs="Times New Roman"/>
          <w:color w:val="000000"/>
          <w:szCs w:val="24"/>
          <w:lang w:eastAsia="en-AU"/>
        </w:rPr>
        <w:t xml:space="preserve">). This ability to integrate is brought about by the utilisation of technology in the day to day work activities of employees which means that those successful in modern challenges are those who can capture the advantages of all the innovations that are being developed. </w:t>
      </w:r>
      <w:r w:rsidR="009975EE" w:rsidRPr="00C8380A">
        <w:rPr>
          <w:rFonts w:eastAsia="Times New Roman" w:cs="Times New Roman"/>
          <w:color w:val="000000"/>
          <w:szCs w:val="24"/>
          <w:lang w:eastAsia="en-AU"/>
        </w:rPr>
        <w:t>All</w:t>
      </w:r>
      <w:r w:rsidRPr="00C8380A">
        <w:rPr>
          <w:rFonts w:eastAsia="Times New Roman" w:cs="Times New Roman"/>
          <w:color w:val="000000"/>
          <w:szCs w:val="24"/>
          <w:lang w:eastAsia="en-AU"/>
        </w:rPr>
        <w:t xml:space="preserve"> these examples of new skills that shall be required </w:t>
      </w:r>
      <w:r w:rsidR="002C1F34">
        <w:rPr>
          <w:rFonts w:eastAsia="Times New Roman" w:cs="Times New Roman"/>
          <w:color w:val="000000"/>
          <w:szCs w:val="24"/>
          <w:lang w:eastAsia="en-AU"/>
        </w:rPr>
        <w:t xml:space="preserve">to </w:t>
      </w:r>
      <w:r w:rsidRPr="00C8380A">
        <w:rPr>
          <w:rFonts w:eastAsia="Times New Roman" w:cs="Times New Roman"/>
          <w:color w:val="000000"/>
          <w:szCs w:val="24"/>
          <w:lang w:eastAsia="en-AU"/>
        </w:rPr>
        <w:t>fall under the category of “21</w:t>
      </w:r>
      <w:r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century skills”.</w:t>
      </w:r>
    </w:p>
    <w:p w14:paraId="63D1E427" w14:textId="6000B873" w:rsidR="00384E72" w:rsidRPr="00C8380A" w:rsidRDefault="00082943" w:rsidP="004A2900">
      <w:pPr>
        <w:spacing w:after="0" w:line="480" w:lineRule="auto"/>
        <w:jc w:val="both"/>
        <w:rPr>
          <w:rFonts w:eastAsia="Times New Roman" w:cs="Times New Roman"/>
          <w:color w:val="000000"/>
          <w:szCs w:val="24"/>
          <w:lang w:eastAsia="en-AU"/>
        </w:rPr>
      </w:pPr>
      <w:r w:rsidRPr="00C8380A">
        <w:rPr>
          <w:rFonts w:eastAsia="Times New Roman" w:cs="Times New Roman"/>
          <w:color w:val="000000"/>
          <w:szCs w:val="24"/>
          <w:lang w:eastAsia="en-AU"/>
        </w:rPr>
        <w:tab/>
      </w:r>
      <w:r w:rsidR="009D7D1F" w:rsidRPr="00C8380A">
        <w:rPr>
          <w:rFonts w:eastAsia="Times New Roman" w:cs="Times New Roman"/>
          <w:color w:val="000000"/>
          <w:szCs w:val="24"/>
          <w:lang w:eastAsia="en-AU"/>
        </w:rPr>
        <w:t>With the understanding of th</w:t>
      </w:r>
      <w:r w:rsidR="0046204D" w:rsidRPr="00C8380A">
        <w:rPr>
          <w:rFonts w:eastAsia="Times New Roman" w:cs="Times New Roman"/>
          <w:color w:val="000000"/>
          <w:szCs w:val="24"/>
          <w:lang w:eastAsia="en-AU"/>
        </w:rPr>
        <w:t>e need for these skills, a refinement of</w:t>
      </w:r>
      <w:r w:rsidR="004A2900" w:rsidRPr="00C8380A">
        <w:rPr>
          <w:rFonts w:eastAsia="Times New Roman" w:cs="Times New Roman"/>
          <w:color w:val="000000"/>
          <w:szCs w:val="24"/>
          <w:lang w:eastAsia="en-AU"/>
        </w:rPr>
        <w:t xml:space="preserve"> what the skills are, how</w:t>
      </w:r>
      <w:r w:rsidR="0046204D" w:rsidRPr="00C8380A">
        <w:rPr>
          <w:rFonts w:eastAsia="Times New Roman" w:cs="Times New Roman"/>
          <w:color w:val="000000"/>
          <w:szCs w:val="24"/>
          <w:lang w:eastAsia="en-AU"/>
        </w:rPr>
        <w:t xml:space="preserve"> to teach</w:t>
      </w:r>
      <w:r w:rsidR="004A2900" w:rsidRPr="00C8380A">
        <w:rPr>
          <w:rFonts w:eastAsia="Times New Roman" w:cs="Times New Roman"/>
          <w:color w:val="000000"/>
          <w:szCs w:val="24"/>
          <w:lang w:eastAsia="en-AU"/>
        </w:rPr>
        <w:t xml:space="preserve"> them,</w:t>
      </w:r>
      <w:r w:rsidR="0046204D" w:rsidRPr="00C8380A">
        <w:rPr>
          <w:rFonts w:eastAsia="Times New Roman" w:cs="Times New Roman"/>
          <w:color w:val="000000"/>
          <w:szCs w:val="24"/>
          <w:lang w:eastAsia="en-AU"/>
        </w:rPr>
        <w:t xml:space="preserve"> and </w:t>
      </w:r>
      <w:r w:rsidR="004A2900" w:rsidRPr="00C8380A">
        <w:rPr>
          <w:rFonts w:eastAsia="Times New Roman" w:cs="Times New Roman"/>
          <w:color w:val="000000"/>
          <w:szCs w:val="24"/>
          <w:lang w:eastAsia="en-AU"/>
        </w:rPr>
        <w:t>importantly</w:t>
      </w:r>
      <w:r w:rsidR="002C1F34">
        <w:rPr>
          <w:rFonts w:eastAsia="Times New Roman" w:cs="Times New Roman"/>
          <w:color w:val="000000"/>
          <w:szCs w:val="24"/>
          <w:lang w:eastAsia="en-AU"/>
        </w:rPr>
        <w:t>,</w:t>
      </w:r>
      <w:r w:rsidR="004A2900" w:rsidRPr="00C8380A">
        <w:rPr>
          <w:rFonts w:eastAsia="Times New Roman" w:cs="Times New Roman"/>
          <w:color w:val="000000"/>
          <w:szCs w:val="24"/>
          <w:lang w:eastAsia="en-AU"/>
        </w:rPr>
        <w:t xml:space="preserve"> how </w:t>
      </w:r>
      <w:r w:rsidR="002C1F34">
        <w:rPr>
          <w:rFonts w:eastAsia="Times New Roman" w:cs="Times New Roman"/>
          <w:color w:val="000000"/>
          <w:szCs w:val="24"/>
          <w:lang w:eastAsia="en-AU"/>
        </w:rPr>
        <w:t xml:space="preserve">to </w:t>
      </w:r>
      <w:r w:rsidR="0046204D" w:rsidRPr="00C8380A">
        <w:rPr>
          <w:rFonts w:eastAsia="Times New Roman" w:cs="Times New Roman"/>
          <w:color w:val="000000"/>
          <w:szCs w:val="24"/>
          <w:lang w:eastAsia="en-AU"/>
        </w:rPr>
        <w:t>assess</w:t>
      </w:r>
      <w:r w:rsidR="004A2900" w:rsidRPr="00C8380A">
        <w:rPr>
          <w:rFonts w:eastAsia="Times New Roman" w:cs="Times New Roman"/>
          <w:color w:val="000000"/>
          <w:szCs w:val="24"/>
          <w:lang w:eastAsia="en-AU"/>
        </w:rPr>
        <w:t>,</w:t>
      </w:r>
      <w:r w:rsidR="0046204D" w:rsidRPr="00C8380A">
        <w:rPr>
          <w:rFonts w:eastAsia="Times New Roman" w:cs="Times New Roman"/>
          <w:color w:val="000000"/>
          <w:szCs w:val="24"/>
          <w:lang w:eastAsia="en-AU"/>
        </w:rPr>
        <w:t xml:space="preserve"> was needed. The </w:t>
      </w:r>
      <w:r w:rsidR="002C1F34">
        <w:rPr>
          <w:rFonts w:eastAsia="Times New Roman" w:cs="Times New Roman"/>
          <w:color w:val="000000"/>
          <w:szCs w:val="24"/>
          <w:lang w:eastAsia="en-AU"/>
        </w:rPr>
        <w:t>most comprehensive</w:t>
      </w:r>
      <w:r w:rsidR="0046204D" w:rsidRPr="00C8380A">
        <w:rPr>
          <w:rFonts w:eastAsia="Times New Roman" w:cs="Times New Roman"/>
          <w:color w:val="000000"/>
          <w:szCs w:val="24"/>
          <w:lang w:eastAsia="en-AU"/>
        </w:rPr>
        <w:t xml:space="preserve"> academic picture available currently is that of the Assessment and Teaching of 21</w:t>
      </w:r>
      <w:r w:rsidR="0046204D" w:rsidRPr="00C8380A">
        <w:rPr>
          <w:rFonts w:eastAsia="Times New Roman" w:cs="Times New Roman"/>
          <w:color w:val="000000"/>
          <w:szCs w:val="24"/>
          <w:vertAlign w:val="superscript"/>
          <w:lang w:eastAsia="en-AU"/>
        </w:rPr>
        <w:t>st</w:t>
      </w:r>
      <w:r w:rsidR="0046204D" w:rsidRPr="00C8380A">
        <w:rPr>
          <w:rFonts w:eastAsia="Times New Roman" w:cs="Times New Roman"/>
          <w:color w:val="000000"/>
          <w:szCs w:val="24"/>
          <w:lang w:eastAsia="en-AU"/>
        </w:rPr>
        <w:t xml:space="preserve"> Century Skills (AT</w:t>
      </w:r>
      <w:r w:rsidR="004A2900" w:rsidRPr="00C8380A">
        <w:rPr>
          <w:rFonts w:eastAsia="Times New Roman" w:cs="Times New Roman"/>
          <w:color w:val="000000"/>
          <w:szCs w:val="24"/>
          <w:lang w:eastAsia="en-AU"/>
        </w:rPr>
        <w:t>C21S). A multinational collaborative industry-academic project, the ATC21S endeavours to develop a comprehensive understanding of 21</w:t>
      </w:r>
      <w:r w:rsidR="004A2900" w:rsidRPr="00C8380A">
        <w:rPr>
          <w:rFonts w:eastAsia="Times New Roman" w:cs="Times New Roman"/>
          <w:color w:val="000000"/>
          <w:szCs w:val="24"/>
          <w:vertAlign w:val="superscript"/>
          <w:lang w:eastAsia="en-AU"/>
        </w:rPr>
        <w:t>st</w:t>
      </w:r>
      <w:r w:rsidR="004A2900" w:rsidRPr="00C8380A">
        <w:rPr>
          <w:rFonts w:eastAsia="Times New Roman" w:cs="Times New Roman"/>
          <w:color w:val="000000"/>
          <w:szCs w:val="24"/>
          <w:lang w:eastAsia="en-AU"/>
        </w:rPr>
        <w:t xml:space="preserve"> century skills as well as provide a realistic framework by which the teaching of them can be rolled out to educational systems around the world (Griffin, Care</w:t>
      </w:r>
      <w:r w:rsidR="00C8380A" w:rsidRPr="00C8380A">
        <w:rPr>
          <w:rFonts w:eastAsia="Times New Roman" w:cs="Times New Roman"/>
          <w:color w:val="000000"/>
          <w:szCs w:val="24"/>
          <w:lang w:eastAsia="en-AU"/>
        </w:rPr>
        <w:t xml:space="preserve">, </w:t>
      </w:r>
      <w:r w:rsidR="004A2900" w:rsidRPr="00C8380A">
        <w:rPr>
          <w:rFonts w:eastAsia="Times New Roman" w:cs="Times New Roman"/>
          <w:color w:val="000000"/>
          <w:szCs w:val="24"/>
          <w:lang w:eastAsia="en-AU"/>
        </w:rPr>
        <w:t xml:space="preserve">2015) and as such forms a large foundation literature foundation for this paper. However, the ATC21S is not comprehensive in its scope as it focuses primarily upon </w:t>
      </w:r>
      <w:r w:rsidR="002C1F34">
        <w:rPr>
          <w:rFonts w:eastAsia="Times New Roman" w:cs="Times New Roman"/>
          <w:color w:val="000000"/>
          <w:szCs w:val="24"/>
          <w:lang w:eastAsia="en-AU"/>
        </w:rPr>
        <w:t xml:space="preserve">the </w:t>
      </w:r>
      <w:r w:rsidR="004A2900" w:rsidRPr="00C8380A">
        <w:rPr>
          <w:rFonts w:eastAsia="Times New Roman" w:cs="Times New Roman"/>
          <w:color w:val="000000"/>
          <w:szCs w:val="24"/>
          <w:lang w:eastAsia="en-AU"/>
        </w:rPr>
        <w:t xml:space="preserve">assessment and not so much on the nature of student learning. </w:t>
      </w:r>
    </w:p>
    <w:p w14:paraId="3CE55721" w14:textId="42A5738F" w:rsidR="004A2900" w:rsidRPr="00C8380A" w:rsidRDefault="004A2900" w:rsidP="009E2B24">
      <w:pPr>
        <w:spacing w:after="0" w:line="480" w:lineRule="auto"/>
        <w:jc w:val="both"/>
        <w:rPr>
          <w:rFonts w:eastAsia="Times New Roman" w:cs="Times New Roman"/>
          <w:color w:val="000000"/>
          <w:szCs w:val="24"/>
          <w:lang w:eastAsia="en-AU"/>
        </w:rPr>
      </w:pPr>
      <w:r w:rsidRPr="00C8380A">
        <w:rPr>
          <w:rFonts w:eastAsia="Times New Roman" w:cs="Times New Roman"/>
          <w:color w:val="000000"/>
          <w:szCs w:val="24"/>
          <w:lang w:eastAsia="en-AU"/>
        </w:rPr>
        <w:tab/>
        <w:t xml:space="preserve">When it comes to learning well the subject they are exposed to, </w:t>
      </w:r>
      <w:proofErr w:type="spellStart"/>
      <w:r w:rsidRPr="00C8380A">
        <w:rPr>
          <w:rFonts w:eastAsia="Times New Roman" w:cs="Times New Roman"/>
          <w:color w:val="000000"/>
          <w:szCs w:val="24"/>
          <w:lang w:eastAsia="en-AU"/>
        </w:rPr>
        <w:t>Nilson</w:t>
      </w:r>
      <w:proofErr w:type="spellEnd"/>
      <w:r w:rsidRPr="00C8380A">
        <w:rPr>
          <w:rFonts w:eastAsia="Times New Roman" w:cs="Times New Roman"/>
          <w:color w:val="000000"/>
          <w:szCs w:val="24"/>
          <w:lang w:eastAsia="en-AU"/>
        </w:rPr>
        <w:t xml:space="preserve"> (2010) posits that there are three primary avenues of engagement: 1) teacher to student, 2) student to student, and 3) student to content. </w:t>
      </w:r>
      <w:r w:rsidR="008454CC" w:rsidRPr="00C8380A">
        <w:rPr>
          <w:rFonts w:eastAsia="Times New Roman" w:cs="Times New Roman"/>
          <w:color w:val="000000"/>
          <w:szCs w:val="24"/>
          <w:lang w:eastAsia="en-AU"/>
        </w:rPr>
        <w:t>That challenge for a university educator is</w:t>
      </w:r>
      <w:r w:rsidR="002C1F34">
        <w:rPr>
          <w:rFonts w:eastAsia="Times New Roman" w:cs="Times New Roman"/>
          <w:color w:val="000000"/>
          <w:szCs w:val="24"/>
          <w:lang w:eastAsia="en-AU"/>
        </w:rPr>
        <w:t>, therefore,</w:t>
      </w:r>
      <w:r w:rsidR="008454CC" w:rsidRPr="00C8380A">
        <w:rPr>
          <w:rFonts w:eastAsia="Times New Roman" w:cs="Times New Roman"/>
          <w:color w:val="000000"/>
          <w:szCs w:val="24"/>
          <w:lang w:eastAsia="en-AU"/>
        </w:rPr>
        <w:t xml:space="preserve"> the question of how to be able to balance these streams so that knowledge is best taken in. For example, Eric Mazur of Harvard </w:t>
      </w:r>
      <w:r w:rsidR="002C1F34">
        <w:rPr>
          <w:rFonts w:eastAsia="Times New Roman" w:cs="Times New Roman"/>
          <w:color w:val="000000"/>
          <w:szCs w:val="24"/>
          <w:lang w:eastAsia="en-AU"/>
        </w:rPr>
        <w:t>U</w:t>
      </w:r>
      <w:r w:rsidR="008454CC" w:rsidRPr="00C8380A">
        <w:rPr>
          <w:rFonts w:eastAsia="Times New Roman" w:cs="Times New Roman"/>
          <w:color w:val="000000"/>
          <w:szCs w:val="24"/>
          <w:lang w:eastAsia="en-AU"/>
        </w:rPr>
        <w:t>niversity</w:t>
      </w:r>
      <w:r w:rsidR="002C1F34">
        <w:rPr>
          <w:rFonts w:eastAsia="Times New Roman" w:cs="Times New Roman"/>
          <w:color w:val="000000"/>
          <w:szCs w:val="24"/>
          <w:lang w:eastAsia="en-AU"/>
        </w:rPr>
        <w:t xml:space="preserve"> </w:t>
      </w:r>
      <w:r w:rsidR="008454CC" w:rsidRPr="00C8380A">
        <w:rPr>
          <w:rFonts w:eastAsia="Times New Roman" w:cs="Times New Roman"/>
          <w:color w:val="000000"/>
          <w:szCs w:val="24"/>
          <w:lang w:eastAsia="en-AU"/>
        </w:rPr>
        <w:t>often reflect</w:t>
      </w:r>
      <w:r w:rsidR="002C1F34">
        <w:rPr>
          <w:rFonts w:eastAsia="Times New Roman" w:cs="Times New Roman"/>
          <w:color w:val="000000"/>
          <w:szCs w:val="24"/>
          <w:lang w:eastAsia="en-AU"/>
        </w:rPr>
        <w:t>s</w:t>
      </w:r>
      <w:r w:rsidR="008454CC" w:rsidRPr="00C8380A">
        <w:rPr>
          <w:rFonts w:eastAsia="Times New Roman" w:cs="Times New Roman"/>
          <w:color w:val="000000"/>
          <w:szCs w:val="24"/>
          <w:lang w:eastAsia="en-AU"/>
        </w:rPr>
        <w:t xml:space="preserve"> that when he started lecturing</w:t>
      </w:r>
      <w:r w:rsidR="002C1F34">
        <w:rPr>
          <w:rFonts w:eastAsia="Times New Roman" w:cs="Times New Roman"/>
          <w:color w:val="000000"/>
          <w:szCs w:val="24"/>
          <w:lang w:eastAsia="en-AU"/>
        </w:rPr>
        <w:t>,</w:t>
      </w:r>
      <w:r w:rsidR="008454CC" w:rsidRPr="00C8380A">
        <w:rPr>
          <w:rFonts w:eastAsia="Times New Roman" w:cs="Times New Roman"/>
          <w:color w:val="000000"/>
          <w:szCs w:val="24"/>
          <w:lang w:eastAsia="en-AU"/>
        </w:rPr>
        <w:t xml:space="preserve"> he was certain that he was doing an excellent job at helping his students learn (</w:t>
      </w:r>
      <w:r w:rsidR="00BD2C6E" w:rsidRPr="00C8380A">
        <w:rPr>
          <w:rFonts w:eastAsia="Times New Roman" w:cs="Times New Roman"/>
          <w:color w:val="000000"/>
          <w:szCs w:val="24"/>
          <w:lang w:eastAsia="en-AU"/>
        </w:rPr>
        <w:t xml:space="preserve">Wagner, &amp; </w:t>
      </w:r>
      <w:proofErr w:type="spellStart"/>
      <w:r w:rsidR="00BD2C6E" w:rsidRPr="00C8380A">
        <w:rPr>
          <w:rFonts w:eastAsia="Times New Roman" w:cs="Times New Roman"/>
          <w:color w:val="000000"/>
          <w:szCs w:val="24"/>
          <w:lang w:eastAsia="en-AU"/>
        </w:rPr>
        <w:t>Dintersmith</w:t>
      </w:r>
      <w:proofErr w:type="spellEnd"/>
      <w:r w:rsidR="00BD2C6E" w:rsidRPr="00C8380A">
        <w:rPr>
          <w:rFonts w:eastAsia="Times New Roman" w:cs="Times New Roman"/>
          <w:color w:val="000000"/>
          <w:szCs w:val="24"/>
          <w:lang w:eastAsia="en-AU"/>
        </w:rPr>
        <w:t>, 2015</w:t>
      </w:r>
      <w:r w:rsidR="008454CC" w:rsidRPr="00C8380A">
        <w:rPr>
          <w:rFonts w:eastAsia="Times New Roman" w:cs="Times New Roman"/>
          <w:color w:val="000000"/>
          <w:szCs w:val="24"/>
          <w:lang w:eastAsia="en-AU"/>
        </w:rPr>
        <w:t>). In the 1990s</w:t>
      </w:r>
      <w:r w:rsidR="002C1F34">
        <w:rPr>
          <w:rFonts w:eastAsia="Times New Roman" w:cs="Times New Roman"/>
          <w:color w:val="000000"/>
          <w:szCs w:val="24"/>
          <w:lang w:eastAsia="en-AU"/>
        </w:rPr>
        <w:t>,</w:t>
      </w:r>
      <w:r w:rsidR="008454CC" w:rsidRPr="00C8380A">
        <w:rPr>
          <w:rFonts w:eastAsia="Times New Roman" w:cs="Times New Roman"/>
          <w:color w:val="000000"/>
          <w:szCs w:val="24"/>
          <w:lang w:eastAsia="en-AU"/>
        </w:rPr>
        <w:t xml:space="preserve"> however</w:t>
      </w:r>
      <w:r w:rsidR="002C1F34">
        <w:rPr>
          <w:rFonts w:eastAsia="Times New Roman" w:cs="Times New Roman"/>
          <w:color w:val="000000"/>
          <w:szCs w:val="24"/>
          <w:lang w:eastAsia="en-AU"/>
        </w:rPr>
        <w:t>,</w:t>
      </w:r>
      <w:r w:rsidR="008454CC" w:rsidRPr="00C8380A">
        <w:rPr>
          <w:rFonts w:eastAsia="Times New Roman" w:cs="Times New Roman"/>
          <w:color w:val="000000"/>
          <w:szCs w:val="24"/>
          <w:lang w:eastAsia="en-AU"/>
        </w:rPr>
        <w:t xml:space="preserve"> he became familiar with a study by </w:t>
      </w:r>
      <w:proofErr w:type="spellStart"/>
      <w:r w:rsidR="008454CC" w:rsidRPr="00C8380A">
        <w:rPr>
          <w:rFonts w:eastAsia="Times New Roman" w:cs="Times New Roman"/>
          <w:color w:val="000000"/>
          <w:szCs w:val="24"/>
          <w:lang w:eastAsia="en-AU"/>
        </w:rPr>
        <w:t>Hestenes</w:t>
      </w:r>
      <w:proofErr w:type="spellEnd"/>
      <w:r w:rsidR="008454CC" w:rsidRPr="00C8380A">
        <w:rPr>
          <w:rFonts w:eastAsia="Times New Roman" w:cs="Times New Roman"/>
          <w:color w:val="000000"/>
          <w:szCs w:val="24"/>
          <w:lang w:eastAsia="en-AU"/>
        </w:rPr>
        <w:t xml:space="preserve">, Wells, and </w:t>
      </w:r>
      <w:proofErr w:type="spellStart"/>
      <w:r w:rsidR="008454CC" w:rsidRPr="00C8380A">
        <w:rPr>
          <w:rFonts w:eastAsia="Times New Roman" w:cs="Times New Roman"/>
          <w:color w:val="000000"/>
          <w:szCs w:val="24"/>
          <w:lang w:eastAsia="en-AU"/>
        </w:rPr>
        <w:t>Swackhamer</w:t>
      </w:r>
      <w:proofErr w:type="spellEnd"/>
      <w:r w:rsidR="008454CC" w:rsidRPr="00C8380A">
        <w:rPr>
          <w:rFonts w:eastAsia="Times New Roman" w:cs="Times New Roman"/>
          <w:color w:val="000000"/>
          <w:szCs w:val="24"/>
          <w:lang w:eastAsia="en-AU"/>
        </w:rPr>
        <w:t xml:space="preserve"> (1992) regarding the utili</w:t>
      </w:r>
      <w:r w:rsidR="002C1F34">
        <w:rPr>
          <w:rFonts w:eastAsia="Times New Roman" w:cs="Times New Roman"/>
          <w:color w:val="000000"/>
          <w:szCs w:val="24"/>
          <w:lang w:eastAsia="en-AU"/>
        </w:rPr>
        <w:t>s</w:t>
      </w:r>
      <w:r w:rsidR="008454CC" w:rsidRPr="00C8380A">
        <w:rPr>
          <w:rFonts w:eastAsia="Times New Roman" w:cs="Times New Roman"/>
          <w:color w:val="000000"/>
          <w:szCs w:val="24"/>
          <w:lang w:eastAsia="en-AU"/>
        </w:rPr>
        <w:t xml:space="preserve">ation of knowledge by physics students. Upon testing his students with the new type of </w:t>
      </w:r>
      <w:r w:rsidR="008454CC" w:rsidRPr="00C8380A">
        <w:rPr>
          <w:rFonts w:eastAsia="Times New Roman" w:cs="Times New Roman"/>
          <w:color w:val="000000"/>
          <w:szCs w:val="24"/>
          <w:lang w:eastAsia="en-AU"/>
        </w:rPr>
        <w:lastRenderedPageBreak/>
        <w:t>test, Mazur was surprised to learn that his student’s failed miserably, in the process of solving this problem he came to understand that he was relying upon lecturing too much rather than letting students do the learning (Wagner, 2015). In 2001, he published a paper (</w:t>
      </w:r>
      <w:proofErr w:type="spellStart"/>
      <w:r w:rsidR="008454CC" w:rsidRPr="00C8380A">
        <w:rPr>
          <w:rFonts w:eastAsia="Times New Roman" w:cs="Times New Roman"/>
          <w:color w:val="000000"/>
          <w:szCs w:val="24"/>
          <w:lang w:eastAsia="en-AU"/>
        </w:rPr>
        <w:t>Mazru</w:t>
      </w:r>
      <w:proofErr w:type="spellEnd"/>
      <w:r w:rsidR="008454CC" w:rsidRPr="00C8380A">
        <w:rPr>
          <w:rFonts w:eastAsia="Times New Roman" w:cs="Times New Roman"/>
          <w:color w:val="000000"/>
          <w:szCs w:val="24"/>
          <w:lang w:eastAsia="en-AU"/>
        </w:rPr>
        <w:t>,</w:t>
      </w:r>
      <w:r w:rsidR="00480E0C" w:rsidRPr="00C8380A">
        <w:rPr>
          <w:rFonts w:eastAsia="Times New Roman" w:cs="Times New Roman"/>
          <w:color w:val="000000"/>
          <w:szCs w:val="24"/>
          <w:lang w:eastAsia="en-AU"/>
        </w:rPr>
        <w:t xml:space="preserve"> &amp; Crouch</w:t>
      </w:r>
      <w:r w:rsidR="00C8380A" w:rsidRPr="00C8380A">
        <w:rPr>
          <w:rFonts w:eastAsia="Times New Roman" w:cs="Times New Roman"/>
          <w:color w:val="000000"/>
          <w:szCs w:val="24"/>
          <w:lang w:eastAsia="en-AU"/>
        </w:rPr>
        <w:t xml:space="preserve">, </w:t>
      </w:r>
      <w:r w:rsidR="008454CC" w:rsidRPr="00C8380A">
        <w:rPr>
          <w:rFonts w:eastAsia="Times New Roman" w:cs="Times New Roman"/>
          <w:color w:val="000000"/>
          <w:szCs w:val="24"/>
          <w:lang w:eastAsia="en-AU"/>
        </w:rPr>
        <w:t>2001) demonstrating the benefits of student</w:t>
      </w:r>
      <w:r w:rsidR="002C1F34">
        <w:rPr>
          <w:rFonts w:eastAsia="Times New Roman" w:cs="Times New Roman"/>
          <w:color w:val="000000"/>
          <w:szCs w:val="24"/>
          <w:lang w:eastAsia="en-AU"/>
        </w:rPr>
        <w:t>-</w:t>
      </w:r>
      <w:r w:rsidR="008454CC" w:rsidRPr="00C8380A">
        <w:rPr>
          <w:rFonts w:eastAsia="Times New Roman" w:cs="Times New Roman"/>
          <w:color w:val="000000"/>
          <w:szCs w:val="24"/>
          <w:lang w:eastAsia="en-AU"/>
        </w:rPr>
        <w:t xml:space="preserve">led streams of learning, from </w:t>
      </w:r>
      <w:r w:rsidR="00480E0C" w:rsidRPr="00C8380A">
        <w:rPr>
          <w:rFonts w:eastAsia="Times New Roman" w:cs="Times New Roman"/>
          <w:color w:val="000000"/>
          <w:szCs w:val="24"/>
          <w:lang w:eastAsia="en-AU"/>
        </w:rPr>
        <w:t>which</w:t>
      </w:r>
      <w:r w:rsidR="008454CC" w:rsidRPr="00C8380A">
        <w:rPr>
          <w:rFonts w:eastAsia="Times New Roman" w:cs="Times New Roman"/>
          <w:color w:val="000000"/>
          <w:szCs w:val="24"/>
          <w:lang w:eastAsia="en-AU"/>
        </w:rPr>
        <w:t xml:space="preserve"> </w:t>
      </w:r>
      <w:proofErr w:type="spellStart"/>
      <w:r w:rsidR="008454CC" w:rsidRPr="00C8380A">
        <w:rPr>
          <w:rFonts w:eastAsia="Times New Roman" w:cs="Times New Roman"/>
          <w:color w:val="000000"/>
          <w:szCs w:val="24"/>
          <w:lang w:eastAsia="en-AU"/>
        </w:rPr>
        <w:t>Nilson</w:t>
      </w:r>
      <w:proofErr w:type="spellEnd"/>
      <w:r w:rsidR="008454CC" w:rsidRPr="00C8380A">
        <w:rPr>
          <w:rFonts w:eastAsia="Times New Roman" w:cs="Times New Roman"/>
          <w:color w:val="000000"/>
          <w:szCs w:val="24"/>
          <w:lang w:eastAsia="en-AU"/>
        </w:rPr>
        <w:t xml:space="preserve"> (2010) got their conclusion of the balanced access to learning materials. </w:t>
      </w:r>
      <w:r w:rsidR="00480E0C" w:rsidRPr="00C8380A">
        <w:rPr>
          <w:rFonts w:eastAsia="Times New Roman" w:cs="Times New Roman"/>
          <w:color w:val="000000"/>
          <w:szCs w:val="24"/>
          <w:lang w:eastAsia="en-AU"/>
        </w:rPr>
        <w:t xml:space="preserve">Combined with later studies (Freeman, Eddy, McDonough, Smith, </w:t>
      </w:r>
      <w:proofErr w:type="spellStart"/>
      <w:r w:rsidR="00480E0C" w:rsidRPr="00C8380A">
        <w:rPr>
          <w:rFonts w:eastAsia="Times New Roman" w:cs="Times New Roman"/>
          <w:color w:val="000000"/>
          <w:szCs w:val="24"/>
          <w:lang w:eastAsia="en-AU"/>
        </w:rPr>
        <w:t>Okoroafor</w:t>
      </w:r>
      <w:proofErr w:type="spellEnd"/>
      <w:r w:rsidR="00480E0C" w:rsidRPr="00C8380A">
        <w:rPr>
          <w:rFonts w:eastAsia="Times New Roman" w:cs="Times New Roman"/>
          <w:color w:val="000000"/>
          <w:szCs w:val="24"/>
          <w:lang w:eastAsia="en-AU"/>
        </w:rPr>
        <w:t xml:space="preserve">, </w:t>
      </w:r>
      <w:proofErr w:type="spellStart"/>
      <w:r w:rsidR="00480E0C" w:rsidRPr="00C8380A">
        <w:rPr>
          <w:rFonts w:eastAsia="Times New Roman" w:cs="Times New Roman"/>
          <w:color w:val="000000"/>
          <w:szCs w:val="24"/>
          <w:lang w:eastAsia="en-AU"/>
        </w:rPr>
        <w:t>Jordt</w:t>
      </w:r>
      <w:proofErr w:type="spellEnd"/>
      <w:r w:rsidR="00480E0C" w:rsidRPr="00C8380A">
        <w:rPr>
          <w:rFonts w:eastAsia="Times New Roman" w:cs="Times New Roman"/>
          <w:color w:val="000000"/>
          <w:szCs w:val="24"/>
          <w:lang w:eastAsia="en-AU"/>
        </w:rPr>
        <w:t xml:space="preserve">, &amp; </w:t>
      </w:r>
      <w:proofErr w:type="spellStart"/>
      <w:r w:rsidR="00BD2C6E" w:rsidRPr="00C8380A">
        <w:rPr>
          <w:rFonts w:eastAsia="Times New Roman" w:cs="Times New Roman"/>
          <w:color w:val="000000"/>
          <w:szCs w:val="24"/>
          <w:lang w:eastAsia="en-AU"/>
        </w:rPr>
        <w:t>Wenderoth</w:t>
      </w:r>
      <w:proofErr w:type="spellEnd"/>
      <w:r w:rsidR="00BD2C6E" w:rsidRPr="00C8380A">
        <w:rPr>
          <w:rFonts w:eastAsia="Times New Roman" w:cs="Times New Roman"/>
          <w:color w:val="000000"/>
          <w:szCs w:val="24"/>
          <w:lang w:eastAsia="en-AU"/>
        </w:rPr>
        <w:t>, M.P., 2014) it appeared that a learning environment consisting of lectures and readings did not provide an environment conducive the learning and adoption of 21</w:t>
      </w:r>
      <w:r w:rsidR="00BD2C6E" w:rsidRPr="00C8380A">
        <w:rPr>
          <w:rFonts w:eastAsia="Times New Roman" w:cs="Times New Roman"/>
          <w:color w:val="000000"/>
          <w:szCs w:val="24"/>
          <w:vertAlign w:val="superscript"/>
          <w:lang w:eastAsia="en-AU"/>
        </w:rPr>
        <w:t>st</w:t>
      </w:r>
      <w:r w:rsidR="00BD2C6E" w:rsidRPr="00C8380A">
        <w:rPr>
          <w:rFonts w:eastAsia="Times New Roman" w:cs="Times New Roman"/>
          <w:color w:val="000000"/>
          <w:szCs w:val="24"/>
          <w:lang w:eastAsia="en-AU"/>
        </w:rPr>
        <w:t xml:space="preserve"> century skills (Wagner, &amp; </w:t>
      </w:r>
      <w:proofErr w:type="spellStart"/>
      <w:r w:rsidR="00BD2C6E" w:rsidRPr="00C8380A">
        <w:rPr>
          <w:rFonts w:eastAsia="Times New Roman" w:cs="Times New Roman"/>
          <w:color w:val="000000"/>
          <w:szCs w:val="24"/>
          <w:lang w:eastAsia="en-AU"/>
        </w:rPr>
        <w:t>Dintersmith</w:t>
      </w:r>
      <w:proofErr w:type="spellEnd"/>
      <w:r w:rsidR="00BD2C6E" w:rsidRPr="00C8380A">
        <w:rPr>
          <w:rFonts w:eastAsia="Times New Roman" w:cs="Times New Roman"/>
          <w:color w:val="000000"/>
          <w:szCs w:val="24"/>
          <w:lang w:eastAsia="en-AU"/>
        </w:rPr>
        <w:t>, 2015) but instead active engagement during class time and ‘flipping’ the lecture led to long term learning of content and skill (</w:t>
      </w:r>
      <w:proofErr w:type="spellStart"/>
      <w:r w:rsidR="00BD2C6E" w:rsidRPr="00C8380A">
        <w:rPr>
          <w:rFonts w:eastAsia="Times New Roman" w:cs="Times New Roman"/>
          <w:color w:val="000000"/>
          <w:szCs w:val="24"/>
          <w:lang w:eastAsia="en-AU"/>
        </w:rPr>
        <w:t>Mazru</w:t>
      </w:r>
      <w:proofErr w:type="spellEnd"/>
      <w:r w:rsidR="00BD2C6E" w:rsidRPr="00C8380A">
        <w:rPr>
          <w:rFonts w:eastAsia="Times New Roman" w:cs="Times New Roman"/>
          <w:color w:val="000000"/>
          <w:szCs w:val="24"/>
          <w:lang w:eastAsia="en-AU"/>
        </w:rPr>
        <w:t>, &amp; Crouch,  2001).</w:t>
      </w:r>
    </w:p>
    <w:p w14:paraId="24A51148" w14:textId="3093D3D9" w:rsidR="00BD2C6E" w:rsidRPr="00C8380A" w:rsidRDefault="00BD2C6E" w:rsidP="009E2B24">
      <w:pPr>
        <w:spacing w:after="0" w:line="480" w:lineRule="auto"/>
        <w:jc w:val="both"/>
        <w:rPr>
          <w:rFonts w:eastAsia="Times New Roman" w:cs="Times New Roman"/>
          <w:color w:val="000000"/>
          <w:szCs w:val="24"/>
          <w:lang w:eastAsia="en-AU"/>
        </w:rPr>
      </w:pPr>
      <w:r w:rsidRPr="00C8380A">
        <w:rPr>
          <w:rFonts w:eastAsia="Times New Roman" w:cs="Times New Roman"/>
          <w:color w:val="000000"/>
          <w:szCs w:val="24"/>
          <w:lang w:eastAsia="en-AU"/>
        </w:rPr>
        <w:tab/>
        <w:t>Ideally</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assessments make up an important pillar of the learning environment (</w:t>
      </w:r>
      <w:proofErr w:type="spellStart"/>
      <w:r w:rsidRPr="00C8380A">
        <w:rPr>
          <w:rFonts w:eastAsia="Times New Roman" w:cs="Times New Roman"/>
          <w:color w:val="000000"/>
          <w:szCs w:val="24"/>
          <w:lang w:eastAsia="en-AU"/>
        </w:rPr>
        <w:t>Nilson</w:t>
      </w:r>
      <w:proofErr w:type="spellEnd"/>
      <w:r w:rsidRPr="00C8380A">
        <w:rPr>
          <w:rFonts w:eastAsia="Times New Roman" w:cs="Times New Roman"/>
          <w:color w:val="000000"/>
          <w:szCs w:val="24"/>
          <w:lang w:eastAsia="en-AU"/>
        </w:rPr>
        <w:t xml:space="preserve">, 2010) but a current challenge in the educational system is how to develop modern assessment for the learning of modern skills (Care, E., </w:t>
      </w:r>
      <w:r w:rsidR="002B52B8" w:rsidRPr="00C8380A">
        <w:rPr>
          <w:rFonts w:eastAsia="Times New Roman" w:cs="Times New Roman"/>
          <w:color w:val="000000"/>
          <w:szCs w:val="24"/>
          <w:lang w:eastAsia="en-AU"/>
        </w:rPr>
        <w:t xml:space="preserve">Kim, H., 2018). A large issue for the modern student is that often they require context and explanation of the task rather than just wanting to jump </w:t>
      </w:r>
      <w:r w:rsidR="002C1F34">
        <w:rPr>
          <w:rFonts w:eastAsia="Times New Roman" w:cs="Times New Roman"/>
          <w:color w:val="000000"/>
          <w:szCs w:val="24"/>
          <w:lang w:eastAsia="en-AU"/>
        </w:rPr>
        <w:t>only to</w:t>
      </w:r>
      <w:r w:rsidR="002B52B8" w:rsidRPr="00C8380A">
        <w:rPr>
          <w:rFonts w:eastAsia="Times New Roman" w:cs="Times New Roman"/>
          <w:color w:val="000000"/>
          <w:szCs w:val="24"/>
          <w:lang w:eastAsia="en-AU"/>
        </w:rPr>
        <w:t xml:space="preserve"> engage (</w:t>
      </w:r>
      <w:proofErr w:type="spellStart"/>
      <w:r w:rsidR="002B52B8" w:rsidRPr="00C8380A">
        <w:rPr>
          <w:rFonts w:eastAsia="Times New Roman" w:cs="Times New Roman"/>
          <w:color w:val="000000"/>
          <w:szCs w:val="24"/>
          <w:lang w:eastAsia="en-AU"/>
        </w:rPr>
        <w:t>Nilson</w:t>
      </w:r>
      <w:proofErr w:type="spellEnd"/>
      <w:r w:rsidR="002B52B8" w:rsidRPr="00C8380A">
        <w:rPr>
          <w:rFonts w:eastAsia="Times New Roman" w:cs="Times New Roman"/>
          <w:color w:val="000000"/>
          <w:szCs w:val="24"/>
          <w:lang w:eastAsia="en-AU"/>
        </w:rPr>
        <w:t xml:space="preserve">, L.B., 2010). The problems stem from </w:t>
      </w:r>
      <w:proofErr w:type="spellStart"/>
      <w:r w:rsidR="002B52B8" w:rsidRPr="00C8380A">
        <w:rPr>
          <w:rFonts w:eastAsia="Times New Roman" w:cs="Times New Roman"/>
          <w:color w:val="000000"/>
          <w:szCs w:val="24"/>
          <w:lang w:eastAsia="en-AU"/>
        </w:rPr>
        <w:t>Gulikers</w:t>
      </w:r>
      <w:proofErr w:type="spellEnd"/>
      <w:r w:rsidR="002B52B8" w:rsidRPr="00C8380A">
        <w:rPr>
          <w:rFonts w:eastAsia="Times New Roman" w:cs="Times New Roman"/>
          <w:color w:val="000000"/>
          <w:szCs w:val="24"/>
          <w:lang w:eastAsia="en-AU"/>
        </w:rPr>
        <w:t xml:space="preserve"> (2004) recogni</w:t>
      </w:r>
      <w:r w:rsidR="002C1F34">
        <w:rPr>
          <w:rFonts w:eastAsia="Times New Roman" w:cs="Times New Roman"/>
          <w:color w:val="000000"/>
          <w:szCs w:val="24"/>
          <w:lang w:eastAsia="en-AU"/>
        </w:rPr>
        <w:t>s</w:t>
      </w:r>
      <w:r w:rsidR="002B52B8" w:rsidRPr="00C8380A">
        <w:rPr>
          <w:rFonts w:eastAsia="Times New Roman" w:cs="Times New Roman"/>
          <w:color w:val="000000"/>
          <w:szCs w:val="24"/>
          <w:lang w:eastAsia="en-AU"/>
        </w:rPr>
        <w:t>es as a problem of ‘assessment authenticity’. To this framework, assessments must carry with them relevance to the expectations of the student bring about an authentic learning experience while doing the assessment (</w:t>
      </w:r>
      <w:proofErr w:type="spellStart"/>
      <w:r w:rsidR="002B52B8" w:rsidRPr="00C8380A">
        <w:rPr>
          <w:rFonts w:eastAsia="Times New Roman" w:cs="Times New Roman"/>
          <w:color w:val="000000"/>
          <w:szCs w:val="24"/>
          <w:lang w:eastAsia="en-AU"/>
        </w:rPr>
        <w:t>Gulikers</w:t>
      </w:r>
      <w:proofErr w:type="spellEnd"/>
      <w:r w:rsidR="002B52B8" w:rsidRPr="00C8380A">
        <w:rPr>
          <w:rFonts w:eastAsia="Times New Roman" w:cs="Times New Roman"/>
          <w:color w:val="000000"/>
          <w:szCs w:val="24"/>
          <w:lang w:eastAsia="en-AU"/>
        </w:rPr>
        <w:t xml:space="preserve">, 2004). This issue is compounded when the nature of the skill being assessed is one that does not match historical norms of assessment (Care, E., Kim, H., 2018). Combing the theories of </w:t>
      </w:r>
      <w:proofErr w:type="spellStart"/>
      <w:r w:rsidR="002B52B8" w:rsidRPr="00C8380A">
        <w:rPr>
          <w:rFonts w:eastAsia="Times New Roman" w:cs="Times New Roman"/>
          <w:color w:val="000000"/>
          <w:szCs w:val="24"/>
          <w:lang w:eastAsia="en-AU"/>
        </w:rPr>
        <w:t>Gulikers</w:t>
      </w:r>
      <w:proofErr w:type="spellEnd"/>
      <w:r w:rsidR="002B52B8" w:rsidRPr="00C8380A">
        <w:rPr>
          <w:rFonts w:eastAsia="Times New Roman" w:cs="Times New Roman"/>
          <w:color w:val="000000"/>
          <w:szCs w:val="24"/>
          <w:lang w:eastAsia="en-AU"/>
        </w:rPr>
        <w:t xml:space="preserve"> (2004) with the ATC21S, it is seen that assessment built upon the interests of the students either through self-directed exploration or assessments that match industry tasks will help provide the authenticity of the assessment, preferably in a context that encourages positive group interaction as well as possibilities to be creative (</w:t>
      </w:r>
      <w:r w:rsidR="00CC76A8" w:rsidRPr="00C8380A">
        <w:rPr>
          <w:rFonts w:eastAsia="Times New Roman" w:cs="Times New Roman"/>
          <w:color w:val="000000"/>
          <w:szCs w:val="24"/>
          <w:lang w:eastAsia="en-AU"/>
        </w:rPr>
        <w:t>Grasser, Foltz, Rosen, Shaffer, Forsyth,  &amp; Germany</w:t>
      </w:r>
      <w:r w:rsidR="00C8380A" w:rsidRPr="00C8380A">
        <w:rPr>
          <w:rFonts w:eastAsia="Times New Roman" w:cs="Times New Roman"/>
          <w:color w:val="000000"/>
          <w:szCs w:val="24"/>
          <w:lang w:eastAsia="en-AU"/>
        </w:rPr>
        <w:t xml:space="preserve">, </w:t>
      </w:r>
      <w:r w:rsidR="00CC76A8" w:rsidRPr="00C8380A">
        <w:rPr>
          <w:rFonts w:eastAsia="Times New Roman" w:cs="Times New Roman"/>
          <w:color w:val="000000"/>
          <w:szCs w:val="24"/>
          <w:lang w:eastAsia="en-AU"/>
        </w:rPr>
        <w:t>2018)</w:t>
      </w:r>
      <w:r w:rsidR="002B52B8" w:rsidRPr="00C8380A">
        <w:rPr>
          <w:rFonts w:eastAsia="Times New Roman" w:cs="Times New Roman"/>
          <w:color w:val="000000"/>
          <w:szCs w:val="24"/>
          <w:lang w:eastAsia="en-AU"/>
        </w:rPr>
        <w:t xml:space="preserve">. </w:t>
      </w:r>
    </w:p>
    <w:p w14:paraId="50719107" w14:textId="57D53B7A" w:rsidR="00DB6FFA" w:rsidRPr="00C8380A" w:rsidRDefault="00CC76A8" w:rsidP="009E2B24">
      <w:pPr>
        <w:spacing w:after="0" w:line="480" w:lineRule="auto"/>
        <w:jc w:val="both"/>
        <w:rPr>
          <w:rFonts w:eastAsia="Times New Roman" w:cs="Times New Roman"/>
          <w:color w:val="000000"/>
          <w:szCs w:val="24"/>
          <w:lang w:eastAsia="en-AU"/>
        </w:rPr>
      </w:pPr>
      <w:r w:rsidRPr="00C8380A">
        <w:rPr>
          <w:rFonts w:eastAsia="Times New Roman" w:cs="Times New Roman"/>
          <w:color w:val="000000"/>
          <w:szCs w:val="24"/>
          <w:lang w:eastAsia="en-AU"/>
        </w:rPr>
        <w:tab/>
        <w:t>With two decades of research indicating that interactive classroom experiences along with authentic assessments lead to the best learning outcomes for both base level content and 21</w:t>
      </w:r>
      <w:r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lastRenderedPageBreak/>
        <w:t>century skills, the question now remains why exactly these prescribed methods are not more common through the entirety of the educational system? Adamson &amp; Darling-Hammond (2015) as part of the ATC21S</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identified the scale of the issue </w:t>
      </w:r>
      <w:r w:rsidR="002C1F34">
        <w:rPr>
          <w:rFonts w:eastAsia="Times New Roman" w:cs="Times New Roman"/>
          <w:color w:val="000000"/>
          <w:szCs w:val="24"/>
          <w:lang w:eastAsia="en-AU"/>
        </w:rPr>
        <w:t>is</w:t>
      </w:r>
      <w:r w:rsidRPr="00C8380A">
        <w:rPr>
          <w:rFonts w:eastAsia="Times New Roman" w:cs="Times New Roman"/>
          <w:color w:val="000000"/>
          <w:szCs w:val="24"/>
          <w:lang w:eastAsia="en-AU"/>
        </w:rPr>
        <w:t xml:space="preserve"> a large constraint when dealing with the implementation of these ideas on a national scale. However, for context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it must be understood that their focus is primarily upon primary and secondary education, with which the nature of national assessment produces the large issues of scale</w:t>
      </w:r>
      <w:r w:rsidR="00502AAF" w:rsidRPr="00C8380A">
        <w:rPr>
          <w:rFonts w:eastAsia="Times New Roman" w:cs="Times New Roman"/>
          <w:color w:val="000000"/>
          <w:szCs w:val="24"/>
          <w:lang w:eastAsia="en-AU"/>
        </w:rPr>
        <w:t xml:space="preserve"> (Wagner, &amp; </w:t>
      </w:r>
      <w:proofErr w:type="spellStart"/>
      <w:r w:rsidR="00502AAF" w:rsidRPr="00C8380A">
        <w:rPr>
          <w:rFonts w:eastAsia="Times New Roman" w:cs="Times New Roman"/>
          <w:color w:val="000000"/>
          <w:szCs w:val="24"/>
          <w:lang w:eastAsia="en-AU"/>
        </w:rPr>
        <w:t>Dintersmith</w:t>
      </w:r>
      <w:proofErr w:type="spellEnd"/>
      <w:r w:rsidR="00502AAF" w:rsidRPr="00C8380A">
        <w:rPr>
          <w:rFonts w:eastAsia="Times New Roman" w:cs="Times New Roman"/>
          <w:color w:val="000000"/>
          <w:szCs w:val="24"/>
          <w:lang w:eastAsia="en-AU"/>
        </w:rPr>
        <w:t>, 2015)</w:t>
      </w:r>
      <w:r w:rsidRPr="00C8380A">
        <w:rPr>
          <w:rFonts w:eastAsia="Times New Roman" w:cs="Times New Roman"/>
          <w:color w:val="000000"/>
          <w:szCs w:val="24"/>
          <w:lang w:eastAsia="en-AU"/>
        </w:rPr>
        <w:t>. On a tertiary level, it is not required for standardised testing</w:t>
      </w:r>
      <w:r w:rsidR="00502AAF" w:rsidRPr="00C8380A">
        <w:rPr>
          <w:rFonts w:eastAsia="Times New Roman" w:cs="Times New Roman"/>
          <w:color w:val="000000"/>
          <w:szCs w:val="24"/>
          <w:lang w:eastAsia="en-AU"/>
        </w:rPr>
        <w:t xml:space="preserve"> to be enacted across all institutions. Additionally, the nature of the tertiary curriculum is also more flexible as like with the assessment can match the individual institution rather than a collective norm across the entire industry. Trilling and Fadel (2009) posit that there a multitude of factors preventing widespread adoption ranging from cultural perceptions on the nature of teaching, parent expectation on the content to be covered in class, to the need for a system to deliver a designated uniform product to </w:t>
      </w:r>
      <w:r w:rsidR="002C1F34">
        <w:rPr>
          <w:rFonts w:eastAsia="Times New Roman" w:cs="Times New Roman"/>
          <w:color w:val="000000"/>
          <w:szCs w:val="24"/>
          <w:lang w:eastAsia="en-AU"/>
        </w:rPr>
        <w:t xml:space="preserve">a </w:t>
      </w:r>
      <w:r w:rsidR="00502AAF" w:rsidRPr="00C8380A">
        <w:rPr>
          <w:rFonts w:eastAsia="Times New Roman" w:cs="Times New Roman"/>
          <w:color w:val="000000"/>
          <w:szCs w:val="24"/>
          <w:lang w:eastAsia="en-AU"/>
        </w:rPr>
        <w:t>large group of unique individuals with different learning styles.</w:t>
      </w:r>
      <w:r w:rsidR="00DB6FFA" w:rsidRPr="00C8380A">
        <w:rPr>
          <w:rFonts w:eastAsia="Times New Roman" w:cs="Times New Roman"/>
          <w:color w:val="000000"/>
          <w:szCs w:val="24"/>
          <w:lang w:eastAsia="en-AU"/>
        </w:rPr>
        <w:t xml:space="preserve"> Ultimately, understanding may also be found in the work of Bransford and Schwartz (2009) where they highlight the difference in </w:t>
      </w:r>
      <w:r w:rsidR="00805EAD" w:rsidRPr="00C8380A">
        <w:rPr>
          <w:rFonts w:eastAsia="Times New Roman" w:cs="Times New Roman"/>
          <w:color w:val="000000"/>
          <w:szCs w:val="24"/>
          <w:lang w:eastAsia="en-AU"/>
        </w:rPr>
        <w:t xml:space="preserve">between one gaining a ‘learning expertise’ as opposed to a ‘teaching’ expertise. Barriers to implementation of innovation could because the primary educators in the tertiary system are necessarily trained to be educators. </w:t>
      </w:r>
    </w:p>
    <w:p w14:paraId="71926FFB" w14:textId="72FEB8ED" w:rsidR="00502AAF" w:rsidRPr="00C8380A" w:rsidRDefault="00502AAF" w:rsidP="009E2B24">
      <w:pPr>
        <w:spacing w:after="0" w:line="480" w:lineRule="auto"/>
        <w:jc w:val="both"/>
        <w:rPr>
          <w:rFonts w:eastAsia="Times New Roman" w:cs="Times New Roman"/>
          <w:color w:val="000000"/>
          <w:szCs w:val="24"/>
          <w:lang w:eastAsia="en-AU"/>
        </w:rPr>
      </w:pPr>
      <w:r w:rsidRPr="00C8380A">
        <w:rPr>
          <w:rFonts w:eastAsia="Times New Roman" w:cs="Times New Roman"/>
          <w:color w:val="000000"/>
          <w:szCs w:val="24"/>
          <w:lang w:eastAsia="en-AU"/>
        </w:rPr>
        <w:tab/>
        <w:t>It is in this area where the identified literature is sparse. The ATC21S, the most comprehensive collection on the subject of teaching 21</w:t>
      </w:r>
      <w:r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century skills, deals directly with secondary education, and its analysis regarding blockages to the adoptions of 21</w:t>
      </w:r>
      <w:r w:rsidRPr="00C8380A">
        <w:rPr>
          <w:rFonts w:eastAsia="Times New Roman" w:cs="Times New Roman"/>
          <w:color w:val="000000"/>
          <w:szCs w:val="24"/>
          <w:vertAlign w:val="superscript"/>
          <w:lang w:eastAsia="en-AU"/>
        </w:rPr>
        <w:t>st</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century skill instructions focuses upon that (</w:t>
      </w:r>
      <w:proofErr w:type="spellStart"/>
      <w:r w:rsidRPr="00C8380A">
        <w:rPr>
          <w:rFonts w:eastAsia="Times New Roman" w:cs="Times New Roman"/>
          <w:color w:val="000000"/>
          <w:szCs w:val="24"/>
          <w:lang w:eastAsia="en-AU"/>
        </w:rPr>
        <w:t>Adamason</w:t>
      </w:r>
      <w:proofErr w:type="spellEnd"/>
      <w:r w:rsidRPr="00C8380A">
        <w:rPr>
          <w:rFonts w:eastAsia="Times New Roman" w:cs="Times New Roman"/>
          <w:color w:val="000000"/>
          <w:szCs w:val="24"/>
          <w:lang w:eastAsia="en-AU"/>
        </w:rPr>
        <w:t>, Darling-Hammond, 2015). Trilling and Fadel (2009) put forth some hypothesises on the subject</w:t>
      </w:r>
      <w:r w:rsidR="002C1F34">
        <w:rPr>
          <w:rFonts w:eastAsia="Times New Roman" w:cs="Times New Roman"/>
          <w:color w:val="000000"/>
          <w:szCs w:val="24"/>
          <w:lang w:eastAsia="en-AU"/>
        </w:rPr>
        <w:t xml:space="preserve">. </w:t>
      </w:r>
      <w:proofErr w:type="gramStart"/>
      <w:r w:rsidR="002C1F34">
        <w:rPr>
          <w:rFonts w:eastAsia="Times New Roman" w:cs="Times New Roman"/>
          <w:color w:val="000000"/>
          <w:szCs w:val="24"/>
          <w:lang w:eastAsia="en-AU"/>
        </w:rPr>
        <w:t>H</w:t>
      </w:r>
      <w:r w:rsidRPr="00C8380A">
        <w:rPr>
          <w:rFonts w:eastAsia="Times New Roman" w:cs="Times New Roman"/>
          <w:color w:val="000000"/>
          <w:szCs w:val="24"/>
          <w:lang w:eastAsia="en-AU"/>
        </w:rPr>
        <w:t>owever</w:t>
      </w:r>
      <w:proofErr w:type="gramEnd"/>
      <w:r w:rsidRPr="00C8380A">
        <w:rPr>
          <w:rFonts w:eastAsia="Times New Roman" w:cs="Times New Roman"/>
          <w:color w:val="000000"/>
          <w:szCs w:val="24"/>
          <w:lang w:eastAsia="en-AU"/>
        </w:rPr>
        <w:t xml:space="preserve"> the data backing up this understanding is not comprehensive. Further research to form at least a beginning foundation in the understanding of barriers within the tertiary system </w:t>
      </w:r>
      <w:r w:rsidR="002C1F34">
        <w:rPr>
          <w:rFonts w:eastAsia="Times New Roman" w:cs="Times New Roman"/>
          <w:color w:val="000000"/>
          <w:szCs w:val="24"/>
          <w:lang w:eastAsia="en-AU"/>
        </w:rPr>
        <w:t>is</w:t>
      </w:r>
      <w:r w:rsidRPr="00C8380A">
        <w:rPr>
          <w:rFonts w:eastAsia="Times New Roman" w:cs="Times New Roman"/>
          <w:color w:val="000000"/>
          <w:szCs w:val="24"/>
          <w:lang w:eastAsia="en-AU"/>
        </w:rPr>
        <w:t xml:space="preserve"> required.</w:t>
      </w:r>
    </w:p>
    <w:p w14:paraId="0F8A078C" w14:textId="77777777" w:rsidR="00384E72" w:rsidRPr="00C8380A" w:rsidRDefault="00384E72" w:rsidP="00384E72">
      <w:pPr>
        <w:spacing w:after="240" w:line="240" w:lineRule="auto"/>
        <w:rPr>
          <w:rFonts w:eastAsia="Times New Roman" w:cs="Times New Roman"/>
          <w:szCs w:val="24"/>
          <w:lang w:eastAsia="en-AU"/>
        </w:rPr>
      </w:pPr>
    </w:p>
    <w:p w14:paraId="3D5043FA" w14:textId="3431A1E6" w:rsidR="00384E72" w:rsidRPr="00C8380A" w:rsidRDefault="00384E72" w:rsidP="00FF5090">
      <w:pPr>
        <w:pStyle w:val="Heading1"/>
        <w:rPr>
          <w:rFonts w:eastAsia="Times New Roman"/>
          <w:lang w:eastAsia="en-AU"/>
        </w:rPr>
      </w:pPr>
      <w:bookmarkStart w:id="3" w:name="_Toc9106354"/>
      <w:r w:rsidRPr="00C8380A">
        <w:rPr>
          <w:rFonts w:eastAsia="Times New Roman"/>
          <w:lang w:eastAsia="en-AU"/>
        </w:rPr>
        <w:lastRenderedPageBreak/>
        <w:t>Methodology</w:t>
      </w:r>
      <w:bookmarkEnd w:id="3"/>
    </w:p>
    <w:p w14:paraId="4B4C978D" w14:textId="4C948569" w:rsidR="00384E72" w:rsidRPr="00C8380A" w:rsidRDefault="00384E72" w:rsidP="009E2B24">
      <w:pPr>
        <w:spacing w:after="0" w:line="480" w:lineRule="auto"/>
        <w:ind w:firstLine="720"/>
        <w:jc w:val="both"/>
        <w:rPr>
          <w:rFonts w:eastAsia="Times New Roman" w:cs="Times New Roman"/>
          <w:szCs w:val="24"/>
          <w:lang w:eastAsia="en-AU"/>
        </w:rPr>
      </w:pPr>
      <w:r w:rsidRPr="00C8380A">
        <w:rPr>
          <w:rFonts w:eastAsia="Times New Roman" w:cs="Times New Roman"/>
          <w:color w:val="000000"/>
          <w:szCs w:val="24"/>
          <w:lang w:eastAsia="en-AU"/>
        </w:rPr>
        <w:t xml:space="preserve">With an understanding of what the literature </w:t>
      </w:r>
      <w:r w:rsidR="00502AAF" w:rsidRPr="00C8380A">
        <w:rPr>
          <w:rFonts w:eastAsia="Times New Roman" w:cs="Times New Roman"/>
          <w:color w:val="000000"/>
          <w:szCs w:val="24"/>
          <w:lang w:eastAsia="en-AU"/>
        </w:rPr>
        <w:t>lays out</w:t>
      </w:r>
      <w:r w:rsidRPr="00C8380A">
        <w:rPr>
          <w:rFonts w:eastAsia="Times New Roman" w:cs="Times New Roman"/>
          <w:color w:val="000000"/>
          <w:szCs w:val="24"/>
          <w:lang w:eastAsia="en-AU"/>
        </w:rPr>
        <w:t xml:space="preserve">, further exploration of the question at hand is provided by undertaking interviews with educational professionals. The scale of this paper constricted the authors to only interviewing two individuals working in the field as university professors. As it is not feasible to get a large sample size to draw quantitative conclusions, this paper will be basing its discussion on a qualitative analysis of the two </w:t>
      </w:r>
      <w:r w:rsidR="000F69D9" w:rsidRPr="00C8380A">
        <w:rPr>
          <w:rFonts w:eastAsia="Times New Roman" w:cs="Times New Roman"/>
          <w:color w:val="000000"/>
          <w:szCs w:val="24"/>
          <w:lang w:eastAsia="en-AU"/>
        </w:rPr>
        <w:t>45-minute</w:t>
      </w:r>
      <w:r w:rsidRPr="00C8380A">
        <w:rPr>
          <w:rFonts w:eastAsia="Times New Roman" w:cs="Times New Roman"/>
          <w:color w:val="000000"/>
          <w:szCs w:val="24"/>
          <w:lang w:eastAsia="en-AU"/>
        </w:rPr>
        <w:t xml:space="preserve"> interviews conducted with the participants. These interviews were informal of nature as </w:t>
      </w:r>
      <w:r w:rsidR="002C1F34">
        <w:rPr>
          <w:rFonts w:eastAsia="Times New Roman" w:cs="Times New Roman"/>
          <w:color w:val="000000"/>
          <w:szCs w:val="24"/>
          <w:lang w:eastAsia="en-AU"/>
        </w:rPr>
        <w:t>the researches intended</w:t>
      </w:r>
      <w:r w:rsidRPr="00C8380A">
        <w:rPr>
          <w:rFonts w:eastAsia="Times New Roman" w:cs="Times New Roman"/>
          <w:color w:val="000000"/>
          <w:szCs w:val="24"/>
          <w:lang w:eastAsia="en-AU"/>
        </w:rPr>
        <w:t xml:space="preserve"> to allow the participants to have space to develop their thoughts and direct the conversation to their </w:t>
      </w:r>
      <w:r w:rsidR="000F69D9" w:rsidRPr="00C8380A">
        <w:rPr>
          <w:rFonts w:eastAsia="Times New Roman" w:cs="Times New Roman"/>
          <w:color w:val="000000"/>
          <w:szCs w:val="24"/>
          <w:lang w:eastAsia="en-AU"/>
        </w:rPr>
        <w:t>areas</w:t>
      </w:r>
      <w:r w:rsidRPr="00C8380A">
        <w:rPr>
          <w:rFonts w:eastAsia="Times New Roman" w:cs="Times New Roman"/>
          <w:color w:val="000000"/>
          <w:szCs w:val="24"/>
          <w:lang w:eastAsia="en-AU"/>
        </w:rPr>
        <w:t xml:space="preserve"> of interest/expertise.</w:t>
      </w:r>
      <w:r w:rsidR="000F69D9" w:rsidRPr="00C8380A">
        <w:rPr>
          <w:rFonts w:eastAsia="Times New Roman" w:cs="Times New Roman"/>
          <w:color w:val="000000"/>
          <w:szCs w:val="24"/>
          <w:lang w:eastAsia="en-AU"/>
        </w:rPr>
        <w:t xml:space="preserve"> </w:t>
      </w:r>
      <w:r w:rsidR="00286E9C" w:rsidRPr="00C8380A">
        <w:rPr>
          <w:rFonts w:eastAsia="Times New Roman" w:cs="Times New Roman"/>
          <w:color w:val="000000"/>
          <w:szCs w:val="24"/>
          <w:lang w:eastAsia="en-AU"/>
        </w:rPr>
        <w:t xml:space="preserve">This is not to say that the questions were not related to literature, the authors approached the interviews with a deductive mindset, being that a firm literature base was being expanded upon by the participants. </w:t>
      </w:r>
    </w:p>
    <w:p w14:paraId="545ECBDF" w14:textId="34384674" w:rsidR="00384E72" w:rsidRPr="00C8380A" w:rsidRDefault="00384E72" w:rsidP="009E2B24">
      <w:pPr>
        <w:spacing w:after="0" w:line="480" w:lineRule="auto"/>
        <w:ind w:firstLine="720"/>
        <w:jc w:val="both"/>
        <w:rPr>
          <w:rFonts w:eastAsia="Times New Roman" w:cs="Times New Roman"/>
          <w:szCs w:val="24"/>
          <w:lang w:eastAsia="en-AU"/>
        </w:rPr>
      </w:pPr>
      <w:r w:rsidRPr="00C8380A">
        <w:rPr>
          <w:rFonts w:eastAsia="Times New Roman" w:cs="Times New Roman"/>
          <w:color w:val="000000"/>
          <w:szCs w:val="24"/>
          <w:lang w:eastAsia="en-AU"/>
        </w:rPr>
        <w:t xml:space="preserve">The interviews will be </w:t>
      </w:r>
      <w:r w:rsidR="00473E6F" w:rsidRPr="00C8380A">
        <w:rPr>
          <w:rFonts w:eastAsia="Times New Roman" w:cs="Times New Roman"/>
          <w:color w:val="000000"/>
          <w:szCs w:val="24"/>
          <w:lang w:eastAsia="en-AU"/>
        </w:rPr>
        <w:t xml:space="preserve">considered primarily in a thematic methodology as per the recommendations present in </w:t>
      </w:r>
      <w:proofErr w:type="spellStart"/>
      <w:r w:rsidR="00357E50" w:rsidRPr="00C8380A">
        <w:rPr>
          <w:rFonts w:eastAsia="Times New Roman" w:cs="Times New Roman"/>
          <w:color w:val="000000"/>
          <w:szCs w:val="24"/>
          <w:lang w:eastAsia="en-AU"/>
        </w:rPr>
        <w:t>Saunder</w:t>
      </w:r>
      <w:proofErr w:type="spellEnd"/>
      <w:r w:rsidR="00357E50" w:rsidRPr="00C8380A">
        <w:rPr>
          <w:rFonts w:eastAsia="Times New Roman" w:cs="Times New Roman"/>
          <w:color w:val="000000"/>
          <w:szCs w:val="24"/>
          <w:lang w:eastAsia="en-AU"/>
        </w:rPr>
        <w:t>, Lewis, and Thornhill</w:t>
      </w:r>
      <w:r w:rsidR="00473E6F" w:rsidRPr="00C8380A">
        <w:rPr>
          <w:rFonts w:eastAsia="Times New Roman" w:cs="Times New Roman"/>
          <w:color w:val="000000"/>
          <w:szCs w:val="24"/>
          <w:lang w:eastAsia="en-AU"/>
        </w:rPr>
        <w:t xml:space="preserve"> (</w:t>
      </w:r>
      <w:r w:rsidR="00357E50" w:rsidRPr="00C8380A">
        <w:rPr>
          <w:rFonts w:eastAsia="Times New Roman" w:cs="Times New Roman"/>
          <w:color w:val="000000"/>
          <w:szCs w:val="24"/>
          <w:lang w:eastAsia="en-AU"/>
        </w:rPr>
        <w:t>2016</w:t>
      </w:r>
      <w:r w:rsidR="00473E6F" w:rsidRPr="00C8380A">
        <w:rPr>
          <w:rFonts w:eastAsia="Times New Roman" w:cs="Times New Roman"/>
          <w:color w:val="000000"/>
          <w:szCs w:val="24"/>
          <w:lang w:eastAsia="en-AU"/>
        </w:rPr>
        <w:t>).</w:t>
      </w:r>
      <w:r w:rsidRPr="00C8380A">
        <w:rPr>
          <w:rFonts w:eastAsia="Times New Roman" w:cs="Times New Roman"/>
          <w:color w:val="000000"/>
          <w:szCs w:val="24"/>
          <w:lang w:eastAsia="en-AU"/>
        </w:rPr>
        <w:t xml:space="preserve"> </w:t>
      </w:r>
      <w:r w:rsidR="00BE5407" w:rsidRPr="00C8380A">
        <w:rPr>
          <w:rFonts w:eastAsia="Times New Roman" w:cs="Times New Roman"/>
          <w:color w:val="000000"/>
          <w:szCs w:val="24"/>
          <w:lang w:eastAsia="en-AU"/>
        </w:rPr>
        <w:t xml:space="preserve">The primary means of analysis will be the considerations of topics covered within the interview and how they relate to the research question presented in this paper. </w:t>
      </w:r>
      <w:r w:rsidR="00630339" w:rsidRPr="00C8380A">
        <w:rPr>
          <w:rFonts w:eastAsia="Times New Roman" w:cs="Times New Roman"/>
          <w:color w:val="000000"/>
          <w:szCs w:val="24"/>
          <w:lang w:eastAsia="en-AU"/>
        </w:rPr>
        <w:t>The broad covered will be the participant</w:t>
      </w:r>
      <w:r w:rsidR="002C1F34">
        <w:rPr>
          <w:rFonts w:eastAsia="Times New Roman" w:cs="Times New Roman"/>
          <w:color w:val="000000"/>
          <w:szCs w:val="24"/>
          <w:lang w:eastAsia="en-AU"/>
        </w:rPr>
        <w:t>'</w:t>
      </w:r>
      <w:r w:rsidR="00630339" w:rsidRPr="00C8380A">
        <w:rPr>
          <w:rFonts w:eastAsia="Times New Roman" w:cs="Times New Roman"/>
          <w:color w:val="000000"/>
          <w:szCs w:val="24"/>
          <w:lang w:eastAsia="en-AU"/>
        </w:rPr>
        <w:t xml:space="preserve">s interpretation of the modern skills needed, whether they’re utilising modern innovations in educating youth about these skills, and what their experiences have been regarding implementing innovative teaching activities. </w:t>
      </w:r>
    </w:p>
    <w:p w14:paraId="53C00712" w14:textId="77777777" w:rsidR="00384E72" w:rsidRPr="00C8380A" w:rsidRDefault="00384E72" w:rsidP="00384E72">
      <w:pPr>
        <w:spacing w:after="0" w:line="240" w:lineRule="auto"/>
        <w:rPr>
          <w:rFonts w:eastAsia="Times New Roman" w:cs="Times New Roman"/>
          <w:szCs w:val="24"/>
          <w:lang w:eastAsia="en-AU"/>
        </w:rPr>
      </w:pPr>
    </w:p>
    <w:p w14:paraId="08DC2E4F" w14:textId="1495088D" w:rsidR="00384E72" w:rsidRPr="00C8380A" w:rsidRDefault="00384E72" w:rsidP="00FF5090">
      <w:pPr>
        <w:pStyle w:val="Heading1"/>
        <w:rPr>
          <w:rFonts w:eastAsia="Times New Roman"/>
          <w:lang w:eastAsia="en-AU"/>
        </w:rPr>
      </w:pPr>
      <w:bookmarkStart w:id="4" w:name="_Toc9106355"/>
      <w:r w:rsidRPr="00C8380A">
        <w:rPr>
          <w:rFonts w:eastAsia="Times New Roman"/>
          <w:lang w:eastAsia="en-AU"/>
        </w:rPr>
        <w:t>Discussion</w:t>
      </w:r>
      <w:bookmarkEnd w:id="4"/>
    </w:p>
    <w:p w14:paraId="0EB113A6" w14:textId="6412FE86" w:rsidR="00630339" w:rsidRPr="00C8380A" w:rsidRDefault="002C1F34" w:rsidP="009E2B24">
      <w:pPr>
        <w:spacing w:after="0" w:line="480" w:lineRule="auto"/>
        <w:ind w:firstLine="720"/>
        <w:jc w:val="both"/>
        <w:rPr>
          <w:rFonts w:eastAsia="Times New Roman" w:cs="Times New Roman"/>
          <w:color w:val="000000"/>
          <w:szCs w:val="24"/>
          <w:lang w:eastAsia="en-AU"/>
        </w:rPr>
      </w:pPr>
      <w:r>
        <w:rPr>
          <w:rFonts w:eastAsia="Times New Roman" w:cs="Times New Roman"/>
          <w:color w:val="000000"/>
          <w:szCs w:val="24"/>
          <w:lang w:eastAsia="en-AU"/>
        </w:rPr>
        <w:t>At the beginning of the interview,</w:t>
      </w:r>
      <w:r w:rsidR="00630339" w:rsidRPr="00C8380A">
        <w:rPr>
          <w:rFonts w:eastAsia="Times New Roman" w:cs="Times New Roman"/>
          <w:color w:val="000000"/>
          <w:szCs w:val="24"/>
          <w:lang w:eastAsia="en-AU"/>
        </w:rPr>
        <w:t xml:space="preserve"> the participants were </w:t>
      </w:r>
      <w:r>
        <w:rPr>
          <w:rFonts w:eastAsia="Times New Roman" w:cs="Times New Roman"/>
          <w:color w:val="000000"/>
          <w:szCs w:val="24"/>
          <w:lang w:eastAsia="en-AU"/>
        </w:rPr>
        <w:t>asked</w:t>
      </w:r>
      <w:r w:rsidR="00630339" w:rsidRPr="00C8380A">
        <w:rPr>
          <w:rFonts w:eastAsia="Times New Roman" w:cs="Times New Roman"/>
          <w:color w:val="000000"/>
          <w:szCs w:val="24"/>
          <w:lang w:eastAsia="en-AU"/>
        </w:rPr>
        <w:t xml:space="preserve"> about what they felt would be the defining or essential skills for young people moving </w:t>
      </w:r>
      <w:r w:rsidR="00F71985" w:rsidRPr="00C8380A">
        <w:rPr>
          <w:rFonts w:eastAsia="Times New Roman" w:cs="Times New Roman"/>
          <w:color w:val="000000"/>
          <w:szCs w:val="24"/>
          <w:lang w:eastAsia="en-AU"/>
        </w:rPr>
        <w:t>into the workforce. Both participants were quick to point out skills that were relevant to their fields</w:t>
      </w:r>
      <w:r>
        <w:rPr>
          <w:rFonts w:eastAsia="Times New Roman" w:cs="Times New Roman"/>
          <w:color w:val="000000"/>
          <w:szCs w:val="24"/>
          <w:lang w:eastAsia="en-AU"/>
        </w:rPr>
        <w:t>,</w:t>
      </w:r>
      <w:r w:rsidR="00F71985" w:rsidRPr="00C8380A">
        <w:rPr>
          <w:rFonts w:eastAsia="Times New Roman" w:cs="Times New Roman"/>
          <w:color w:val="000000"/>
          <w:szCs w:val="24"/>
          <w:lang w:eastAsia="en-AU"/>
        </w:rPr>
        <w:t xml:space="preserve"> </w:t>
      </w:r>
      <w:r>
        <w:rPr>
          <w:rFonts w:eastAsia="Times New Roman" w:cs="Times New Roman"/>
          <w:color w:val="000000"/>
          <w:szCs w:val="24"/>
          <w:lang w:eastAsia="en-AU"/>
        </w:rPr>
        <w:t>which were the same as those</w:t>
      </w:r>
      <w:r w:rsidR="00F71985" w:rsidRPr="00C8380A">
        <w:rPr>
          <w:rFonts w:eastAsia="Times New Roman" w:cs="Times New Roman"/>
          <w:color w:val="000000"/>
          <w:szCs w:val="24"/>
          <w:lang w:eastAsia="en-AU"/>
        </w:rPr>
        <w:t xml:space="preserve"> identified in the literature. Dr </w:t>
      </w:r>
      <w:proofErr w:type="spellStart"/>
      <w:r w:rsidR="00F71985" w:rsidRPr="00C8380A">
        <w:rPr>
          <w:rFonts w:eastAsia="Times New Roman" w:cs="Times New Roman"/>
          <w:color w:val="000000"/>
          <w:szCs w:val="24"/>
          <w:lang w:eastAsia="en-AU"/>
        </w:rPr>
        <w:t>Sukunesan</w:t>
      </w:r>
      <w:proofErr w:type="spellEnd"/>
      <w:r w:rsidR="00357E50" w:rsidRPr="00C8380A">
        <w:rPr>
          <w:rFonts w:eastAsia="Times New Roman" w:cs="Times New Roman"/>
          <w:color w:val="000000"/>
          <w:szCs w:val="24"/>
          <w:lang w:eastAsia="en-AU"/>
        </w:rPr>
        <w:t xml:space="preserve"> (2019)</w:t>
      </w:r>
      <w:r w:rsidR="00F71985" w:rsidRPr="00C8380A">
        <w:rPr>
          <w:rFonts w:eastAsia="Times New Roman" w:cs="Times New Roman"/>
          <w:color w:val="000000"/>
          <w:szCs w:val="24"/>
          <w:lang w:eastAsia="en-AU"/>
        </w:rPr>
        <w:t xml:space="preserve">, of Swinburne University, spoke highly of communication skills being </w:t>
      </w:r>
      <w:r w:rsidR="00501C8A" w:rsidRPr="00C8380A">
        <w:rPr>
          <w:rFonts w:eastAsia="Times New Roman" w:cs="Times New Roman"/>
          <w:color w:val="000000"/>
          <w:szCs w:val="24"/>
          <w:lang w:eastAsia="en-AU"/>
        </w:rPr>
        <w:t>essential</w:t>
      </w:r>
      <w:r w:rsidR="00F71985" w:rsidRPr="00C8380A">
        <w:rPr>
          <w:rFonts w:eastAsia="Times New Roman" w:cs="Times New Roman"/>
          <w:color w:val="000000"/>
          <w:szCs w:val="24"/>
          <w:lang w:eastAsia="en-AU"/>
        </w:rPr>
        <w:t xml:space="preserve"> </w:t>
      </w:r>
      <w:r w:rsidR="00501C8A" w:rsidRPr="00C8380A">
        <w:rPr>
          <w:rFonts w:eastAsia="Times New Roman" w:cs="Times New Roman"/>
          <w:color w:val="000000"/>
          <w:szCs w:val="24"/>
          <w:lang w:eastAsia="en-AU"/>
        </w:rPr>
        <w:t xml:space="preserve">in the modern workplace particularly focusing on the importance of students to be able to develop skills in the social media sphere. Dr </w:t>
      </w:r>
      <w:proofErr w:type="spellStart"/>
      <w:r w:rsidR="00501C8A" w:rsidRPr="00C8380A">
        <w:rPr>
          <w:rFonts w:eastAsia="Times New Roman" w:cs="Times New Roman"/>
          <w:color w:val="000000"/>
          <w:szCs w:val="24"/>
          <w:lang w:eastAsia="en-AU"/>
        </w:rPr>
        <w:t>Rixon</w:t>
      </w:r>
      <w:proofErr w:type="spellEnd"/>
      <w:r w:rsidR="00357E50" w:rsidRPr="00C8380A">
        <w:rPr>
          <w:rFonts w:eastAsia="Times New Roman" w:cs="Times New Roman"/>
          <w:color w:val="000000"/>
          <w:szCs w:val="24"/>
          <w:lang w:eastAsia="en-AU"/>
        </w:rPr>
        <w:t xml:space="preserve"> (2019a)</w:t>
      </w:r>
      <w:r w:rsidR="00501C8A" w:rsidRPr="00C8380A">
        <w:rPr>
          <w:rFonts w:eastAsia="Times New Roman" w:cs="Times New Roman"/>
          <w:color w:val="000000"/>
          <w:szCs w:val="24"/>
          <w:lang w:eastAsia="en-AU"/>
        </w:rPr>
        <w:t xml:space="preserve">, who was the second participant from Swinburne University, also spoke highly of communication </w:t>
      </w:r>
      <w:r w:rsidR="00501C8A" w:rsidRPr="00C8380A">
        <w:rPr>
          <w:rFonts w:eastAsia="Times New Roman" w:cs="Times New Roman"/>
          <w:color w:val="000000"/>
          <w:szCs w:val="24"/>
          <w:lang w:eastAsia="en-AU"/>
        </w:rPr>
        <w:lastRenderedPageBreak/>
        <w:t>but for him</w:t>
      </w:r>
      <w:r>
        <w:rPr>
          <w:rFonts w:eastAsia="Times New Roman" w:cs="Times New Roman"/>
          <w:color w:val="000000"/>
          <w:szCs w:val="24"/>
          <w:lang w:eastAsia="en-AU"/>
        </w:rPr>
        <w:t>,</w:t>
      </w:r>
      <w:r w:rsidR="00501C8A" w:rsidRPr="00C8380A">
        <w:rPr>
          <w:rFonts w:eastAsia="Times New Roman" w:cs="Times New Roman"/>
          <w:color w:val="000000"/>
          <w:szCs w:val="24"/>
          <w:lang w:eastAsia="en-AU"/>
        </w:rPr>
        <w:t xml:space="preserve"> it was primarily in the context of being able to network. Dr </w:t>
      </w:r>
      <w:proofErr w:type="spellStart"/>
      <w:r w:rsidR="00501C8A" w:rsidRPr="00C8380A">
        <w:rPr>
          <w:rFonts w:eastAsia="Times New Roman" w:cs="Times New Roman"/>
          <w:color w:val="000000"/>
          <w:szCs w:val="24"/>
          <w:lang w:eastAsia="en-AU"/>
        </w:rPr>
        <w:t>Rixon</w:t>
      </w:r>
      <w:proofErr w:type="spellEnd"/>
      <w:r w:rsidR="00501C8A" w:rsidRPr="00C8380A">
        <w:rPr>
          <w:rFonts w:eastAsia="Times New Roman" w:cs="Times New Roman"/>
          <w:color w:val="000000"/>
          <w:szCs w:val="24"/>
          <w:lang w:eastAsia="en-AU"/>
        </w:rPr>
        <w:t xml:space="preserve"> (</w:t>
      </w:r>
      <w:r w:rsidR="00C8380A" w:rsidRPr="00C8380A">
        <w:rPr>
          <w:rFonts w:eastAsia="Times New Roman" w:cs="Times New Roman"/>
          <w:color w:val="000000"/>
          <w:szCs w:val="24"/>
          <w:lang w:eastAsia="en-AU"/>
        </w:rPr>
        <w:t xml:space="preserve">Bates, </w:t>
      </w:r>
      <w:proofErr w:type="spellStart"/>
      <w:r w:rsidR="00C8380A" w:rsidRPr="00C8380A">
        <w:rPr>
          <w:rFonts w:eastAsia="Times New Roman" w:cs="Times New Roman"/>
          <w:color w:val="000000"/>
          <w:szCs w:val="24"/>
          <w:lang w:eastAsia="en-AU"/>
        </w:rPr>
        <w:t>Rixon</w:t>
      </w:r>
      <w:proofErr w:type="spellEnd"/>
      <w:r w:rsidR="00C8380A" w:rsidRPr="00C8380A">
        <w:rPr>
          <w:rFonts w:eastAsia="Times New Roman" w:cs="Times New Roman"/>
          <w:color w:val="000000"/>
          <w:szCs w:val="24"/>
          <w:lang w:eastAsia="en-AU"/>
        </w:rPr>
        <w:t>, Carbone, Pilgrim, 2019</w:t>
      </w:r>
      <w:r w:rsidR="00501C8A" w:rsidRPr="00C8380A">
        <w:rPr>
          <w:rFonts w:eastAsia="Times New Roman" w:cs="Times New Roman"/>
          <w:color w:val="000000"/>
          <w:szCs w:val="24"/>
          <w:lang w:eastAsia="en-AU"/>
        </w:rPr>
        <w:t>) has also recently published a research article discussing an individual’s ‘professional purpose’ as a means by which many of the skills identified as 21</w:t>
      </w:r>
      <w:r w:rsidR="00501C8A" w:rsidRPr="00C8380A">
        <w:rPr>
          <w:rFonts w:eastAsia="Times New Roman" w:cs="Times New Roman"/>
          <w:color w:val="000000"/>
          <w:szCs w:val="24"/>
          <w:vertAlign w:val="superscript"/>
          <w:lang w:eastAsia="en-AU"/>
        </w:rPr>
        <w:t>st</w:t>
      </w:r>
      <w:r>
        <w:rPr>
          <w:rFonts w:eastAsia="Times New Roman" w:cs="Times New Roman"/>
          <w:color w:val="000000"/>
          <w:szCs w:val="24"/>
          <w:lang w:eastAsia="en-AU"/>
        </w:rPr>
        <w:t>-</w:t>
      </w:r>
      <w:r w:rsidR="00501C8A" w:rsidRPr="00C8380A">
        <w:rPr>
          <w:rFonts w:eastAsia="Times New Roman" w:cs="Times New Roman"/>
          <w:color w:val="000000"/>
          <w:szCs w:val="24"/>
          <w:lang w:eastAsia="en-AU"/>
        </w:rPr>
        <w:t xml:space="preserve">century skills can be developed. He discussed how that once a worker can find purpose their tasks, their ability to think creatively, critically, and have </w:t>
      </w:r>
      <w:r>
        <w:rPr>
          <w:rFonts w:eastAsia="Times New Roman" w:cs="Times New Roman"/>
          <w:color w:val="000000"/>
          <w:szCs w:val="24"/>
          <w:lang w:eastAsia="en-AU"/>
        </w:rPr>
        <w:t>the</w:t>
      </w:r>
      <w:r w:rsidR="00501C8A" w:rsidRPr="00C8380A">
        <w:rPr>
          <w:rFonts w:eastAsia="Times New Roman" w:cs="Times New Roman"/>
          <w:color w:val="000000"/>
          <w:szCs w:val="24"/>
          <w:lang w:eastAsia="en-AU"/>
        </w:rPr>
        <w:t xml:space="preserve"> grit to persevere through the task is greatly enhanced and developed. </w:t>
      </w:r>
    </w:p>
    <w:p w14:paraId="59C88283" w14:textId="1627D372" w:rsidR="00501C8A" w:rsidRPr="00C8380A" w:rsidRDefault="00501C8A"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The experience of both the participants as educators, as well as in other fields has reinforced the idea of </w:t>
      </w:r>
      <w:r w:rsidR="002C1F34">
        <w:rPr>
          <w:rFonts w:eastAsia="Times New Roman" w:cs="Times New Roman"/>
          <w:color w:val="000000"/>
          <w:szCs w:val="24"/>
          <w:lang w:eastAsia="en-AU"/>
        </w:rPr>
        <w:t>modern baseline</w:t>
      </w:r>
      <w:r w:rsidRPr="00C8380A">
        <w:rPr>
          <w:rFonts w:eastAsia="Times New Roman" w:cs="Times New Roman"/>
          <w:color w:val="000000"/>
          <w:szCs w:val="24"/>
          <w:lang w:eastAsia="en-AU"/>
        </w:rPr>
        <w:t xml:space="preserve"> skills being necessary to be a successful modern worker. This was encouraging for this paper as it provides contextual validation of the assertions found within the literature. While their experiences support </w:t>
      </w:r>
      <w:r w:rsidR="00FF5090" w:rsidRPr="00C8380A">
        <w:rPr>
          <w:rFonts w:eastAsia="Times New Roman" w:cs="Times New Roman"/>
          <w:color w:val="000000"/>
          <w:szCs w:val="24"/>
          <w:lang w:eastAsia="en-AU"/>
        </w:rPr>
        <w:t xml:space="preserve">these needs, neither was familiar with a lot of the research in the field. This can be taken as both a positive and a negative regarding </w:t>
      </w:r>
      <w:r w:rsidR="00357E50" w:rsidRPr="00C8380A">
        <w:rPr>
          <w:rFonts w:eastAsia="Times New Roman" w:cs="Times New Roman"/>
          <w:color w:val="000000"/>
          <w:szCs w:val="24"/>
          <w:lang w:eastAsia="en-AU"/>
        </w:rPr>
        <w:t xml:space="preserve">since it is promising that these educators are able </w:t>
      </w:r>
      <w:r w:rsidR="002C1F34">
        <w:rPr>
          <w:rFonts w:eastAsia="Times New Roman" w:cs="Times New Roman"/>
          <w:color w:val="000000"/>
          <w:szCs w:val="24"/>
          <w:lang w:eastAsia="en-AU"/>
        </w:rPr>
        <w:t xml:space="preserve">to </w:t>
      </w:r>
      <w:r w:rsidR="00357E50" w:rsidRPr="00C8380A">
        <w:rPr>
          <w:rFonts w:eastAsia="Times New Roman" w:cs="Times New Roman"/>
          <w:color w:val="000000"/>
          <w:szCs w:val="24"/>
          <w:lang w:eastAsia="en-AU"/>
        </w:rPr>
        <w:t xml:space="preserve">perceive the need to go beyond just interacting with </w:t>
      </w:r>
      <w:r w:rsidR="002C1F34">
        <w:rPr>
          <w:rFonts w:eastAsia="Times New Roman" w:cs="Times New Roman"/>
          <w:color w:val="000000"/>
          <w:szCs w:val="24"/>
          <w:lang w:eastAsia="en-AU"/>
        </w:rPr>
        <w:t xml:space="preserve">a </w:t>
      </w:r>
      <w:r w:rsidR="00357E50" w:rsidRPr="00C8380A">
        <w:rPr>
          <w:rFonts w:eastAsia="Times New Roman" w:cs="Times New Roman"/>
          <w:color w:val="000000"/>
          <w:szCs w:val="24"/>
          <w:lang w:eastAsia="en-AU"/>
        </w:rPr>
        <w:t xml:space="preserve">base level of content of a course however the fact that they are only using their experience and </w:t>
      </w:r>
      <w:r w:rsidR="00DE2F34" w:rsidRPr="00C8380A">
        <w:rPr>
          <w:rFonts w:eastAsia="Times New Roman" w:cs="Times New Roman"/>
          <w:color w:val="000000"/>
          <w:szCs w:val="24"/>
          <w:lang w:eastAsia="en-AU"/>
        </w:rPr>
        <w:t>are not utilising all of the resources on this subject. This contextualised nature of knowledge may have the possibility of preventing a wholistic view of the diverse skills that have been identified (</w:t>
      </w:r>
      <w:r w:rsidR="0046204D" w:rsidRPr="00C8380A">
        <w:rPr>
          <w:rFonts w:eastAsia="Times New Roman" w:cs="Times New Roman"/>
          <w:color w:val="000000"/>
          <w:szCs w:val="24"/>
          <w:lang w:eastAsia="en-AU"/>
        </w:rPr>
        <w:t>Binkley</w:t>
      </w:r>
      <w:r w:rsidR="00DE2F34" w:rsidRPr="00C8380A">
        <w:rPr>
          <w:rFonts w:eastAsia="Times New Roman" w:cs="Times New Roman"/>
          <w:color w:val="000000"/>
          <w:szCs w:val="24"/>
          <w:lang w:eastAsia="en-AU"/>
        </w:rPr>
        <w:t xml:space="preserve"> et al</w:t>
      </w:r>
      <w:r w:rsidR="002C1F34">
        <w:rPr>
          <w:rFonts w:eastAsia="Times New Roman" w:cs="Times New Roman"/>
          <w:color w:val="000000"/>
          <w:szCs w:val="24"/>
          <w:lang w:eastAsia="en-AU"/>
        </w:rPr>
        <w:t>.</w:t>
      </w:r>
      <w:r w:rsidR="00DE2F34" w:rsidRPr="00C8380A">
        <w:rPr>
          <w:rFonts w:eastAsia="Times New Roman" w:cs="Times New Roman"/>
          <w:color w:val="000000"/>
          <w:szCs w:val="24"/>
          <w:lang w:eastAsia="en-AU"/>
        </w:rPr>
        <w:t>, 201</w:t>
      </w:r>
      <w:r w:rsidR="0046204D" w:rsidRPr="00C8380A">
        <w:rPr>
          <w:rFonts w:eastAsia="Times New Roman" w:cs="Times New Roman"/>
          <w:color w:val="000000"/>
          <w:szCs w:val="24"/>
          <w:lang w:eastAsia="en-AU"/>
        </w:rPr>
        <w:t>2</w:t>
      </w:r>
      <w:r w:rsidR="00DE2F34" w:rsidRPr="00C8380A">
        <w:rPr>
          <w:rFonts w:eastAsia="Times New Roman" w:cs="Times New Roman"/>
          <w:color w:val="000000"/>
          <w:szCs w:val="24"/>
          <w:lang w:eastAsia="en-AU"/>
        </w:rPr>
        <w:t>). This is not to say that either participant was flippant about the importance of any other category of skill, rather that they each had an area of focus that was present in their methodologies of teaching these skills.</w:t>
      </w:r>
    </w:p>
    <w:p w14:paraId="2B755647" w14:textId="723CA230" w:rsidR="00DE2F34" w:rsidRPr="00C8380A" w:rsidRDefault="00DE2F34"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The next thematic area of interest in the conducted interview </w:t>
      </w:r>
      <w:r w:rsidR="00B52D43" w:rsidRPr="00C8380A">
        <w:rPr>
          <w:rFonts w:eastAsia="Times New Roman" w:cs="Times New Roman"/>
          <w:color w:val="000000"/>
          <w:szCs w:val="24"/>
          <w:lang w:eastAsia="en-AU"/>
        </w:rPr>
        <w:t xml:space="preserve">was querying the participants how they thought </w:t>
      </w:r>
      <w:r w:rsidR="002C1F34">
        <w:rPr>
          <w:rFonts w:eastAsia="Times New Roman" w:cs="Times New Roman"/>
          <w:color w:val="000000"/>
          <w:szCs w:val="24"/>
          <w:lang w:eastAsia="en-AU"/>
        </w:rPr>
        <w:t xml:space="preserve">the </w:t>
      </w:r>
      <w:r w:rsidR="00B52D43" w:rsidRPr="00C8380A">
        <w:rPr>
          <w:rFonts w:eastAsia="Times New Roman" w:cs="Times New Roman"/>
          <w:color w:val="000000"/>
          <w:szCs w:val="24"/>
          <w:lang w:eastAsia="en-AU"/>
        </w:rPr>
        <w:t>21</w:t>
      </w:r>
      <w:r w:rsidR="00B52D43" w:rsidRPr="00C8380A">
        <w:rPr>
          <w:rFonts w:eastAsia="Times New Roman" w:cs="Times New Roman"/>
          <w:color w:val="000000"/>
          <w:szCs w:val="24"/>
          <w:vertAlign w:val="superscript"/>
          <w:lang w:eastAsia="en-AU"/>
        </w:rPr>
        <w:t>st</w:t>
      </w:r>
      <w:r w:rsidR="00B52D43" w:rsidRPr="00C8380A">
        <w:rPr>
          <w:rFonts w:eastAsia="Times New Roman" w:cs="Times New Roman"/>
          <w:color w:val="000000"/>
          <w:szCs w:val="24"/>
          <w:lang w:eastAsia="en-AU"/>
        </w:rPr>
        <w:t xml:space="preserve"> century could be developed within the tertiary environment. To begin with</w:t>
      </w:r>
      <w:r w:rsidR="002C1F34">
        <w:rPr>
          <w:rFonts w:eastAsia="Times New Roman" w:cs="Times New Roman"/>
          <w:color w:val="000000"/>
          <w:szCs w:val="24"/>
          <w:lang w:eastAsia="en-AU"/>
        </w:rPr>
        <w:t>,</w:t>
      </w:r>
      <w:r w:rsidR="00B52D43" w:rsidRPr="00C8380A">
        <w:rPr>
          <w:rFonts w:eastAsia="Times New Roman" w:cs="Times New Roman"/>
          <w:color w:val="000000"/>
          <w:szCs w:val="24"/>
          <w:lang w:eastAsia="en-AU"/>
        </w:rPr>
        <w:t xml:space="preserve"> Dr </w:t>
      </w:r>
      <w:proofErr w:type="spellStart"/>
      <w:r w:rsidR="00B52D43" w:rsidRPr="00C8380A">
        <w:rPr>
          <w:rFonts w:eastAsia="Times New Roman" w:cs="Times New Roman"/>
          <w:color w:val="000000"/>
          <w:szCs w:val="24"/>
          <w:lang w:eastAsia="en-AU"/>
        </w:rPr>
        <w:t>Sukunesan</w:t>
      </w:r>
      <w:proofErr w:type="spellEnd"/>
      <w:r w:rsidR="00B52D43" w:rsidRPr="00C8380A">
        <w:rPr>
          <w:rFonts w:eastAsia="Times New Roman" w:cs="Times New Roman"/>
          <w:color w:val="000000"/>
          <w:szCs w:val="24"/>
          <w:lang w:eastAsia="en-AU"/>
        </w:rPr>
        <w:t xml:space="preserve"> (2019), as his course specifically concerns social media trends, he implements communication between students in as many ways as possible to get them used not only to communicat</w:t>
      </w:r>
      <w:r w:rsidR="002C1F34">
        <w:rPr>
          <w:rFonts w:eastAsia="Times New Roman" w:cs="Times New Roman"/>
          <w:color w:val="000000"/>
          <w:szCs w:val="24"/>
          <w:lang w:eastAsia="en-AU"/>
        </w:rPr>
        <w:t>e</w:t>
      </w:r>
      <w:r w:rsidR="00B52D43" w:rsidRPr="00C8380A">
        <w:rPr>
          <w:rFonts w:eastAsia="Times New Roman" w:cs="Times New Roman"/>
          <w:color w:val="000000"/>
          <w:szCs w:val="24"/>
          <w:lang w:eastAsia="en-AU"/>
        </w:rPr>
        <w:t xml:space="preserve"> with one another but also to utilise technology as the means to do so. The example that he offered us was that during tutorial sessions, he assigns </w:t>
      </w:r>
      <w:r w:rsidR="00AC1075" w:rsidRPr="00C8380A">
        <w:rPr>
          <w:rFonts w:eastAsia="Times New Roman" w:cs="Times New Roman"/>
          <w:color w:val="000000"/>
          <w:szCs w:val="24"/>
          <w:lang w:eastAsia="en-AU"/>
        </w:rPr>
        <w:t>Twitter</w:t>
      </w:r>
      <w:r w:rsidR="00B52D43" w:rsidRPr="00C8380A">
        <w:rPr>
          <w:rFonts w:eastAsia="Times New Roman" w:cs="Times New Roman"/>
          <w:color w:val="000000"/>
          <w:szCs w:val="24"/>
          <w:lang w:eastAsia="en-AU"/>
        </w:rPr>
        <w:t xml:space="preserve"> hashtags to the questions and allows for students in other classes to participate using these hashtags</w:t>
      </w:r>
      <w:r w:rsidR="00AC1075" w:rsidRPr="00C8380A">
        <w:rPr>
          <w:rFonts w:eastAsia="Times New Roman" w:cs="Times New Roman"/>
          <w:color w:val="000000"/>
          <w:szCs w:val="24"/>
          <w:lang w:eastAsia="en-AU"/>
        </w:rPr>
        <w:t xml:space="preserve"> (</w:t>
      </w:r>
      <w:proofErr w:type="spellStart"/>
      <w:r w:rsidR="00AC1075" w:rsidRPr="00C8380A">
        <w:rPr>
          <w:rFonts w:eastAsia="Times New Roman" w:cs="Times New Roman"/>
          <w:color w:val="000000"/>
          <w:szCs w:val="24"/>
          <w:lang w:eastAsia="en-AU"/>
        </w:rPr>
        <w:t>Sukunesan</w:t>
      </w:r>
      <w:proofErr w:type="spellEnd"/>
      <w:r w:rsidR="00AC1075" w:rsidRPr="00C8380A">
        <w:rPr>
          <w:rFonts w:eastAsia="Times New Roman" w:cs="Times New Roman"/>
          <w:color w:val="000000"/>
          <w:szCs w:val="24"/>
          <w:lang w:eastAsia="en-AU"/>
        </w:rPr>
        <w:t>, 2019)</w:t>
      </w:r>
      <w:r w:rsidR="00B52D43" w:rsidRPr="00C8380A">
        <w:rPr>
          <w:rFonts w:eastAsia="Times New Roman" w:cs="Times New Roman"/>
          <w:color w:val="000000"/>
          <w:szCs w:val="24"/>
          <w:lang w:eastAsia="en-AU"/>
        </w:rPr>
        <w:t>.</w:t>
      </w:r>
      <w:r w:rsidR="00AC1075" w:rsidRPr="00C8380A">
        <w:rPr>
          <w:rFonts w:eastAsia="Times New Roman" w:cs="Times New Roman"/>
          <w:color w:val="000000"/>
          <w:szCs w:val="24"/>
          <w:lang w:eastAsia="en-AU"/>
        </w:rPr>
        <w:t xml:space="preserve"> This is quite the impressive innovation by Dr </w:t>
      </w:r>
      <w:proofErr w:type="spellStart"/>
      <w:r w:rsidR="00AC1075" w:rsidRPr="00C8380A">
        <w:rPr>
          <w:rFonts w:eastAsia="Times New Roman" w:cs="Times New Roman"/>
          <w:color w:val="000000"/>
          <w:szCs w:val="24"/>
          <w:lang w:eastAsia="en-AU"/>
        </w:rPr>
        <w:t>Sukunesan</w:t>
      </w:r>
      <w:proofErr w:type="spellEnd"/>
      <w:r w:rsidR="00AC1075" w:rsidRPr="00C8380A">
        <w:rPr>
          <w:rFonts w:eastAsia="Times New Roman" w:cs="Times New Roman"/>
          <w:color w:val="000000"/>
          <w:szCs w:val="24"/>
          <w:lang w:eastAsia="en-AU"/>
        </w:rPr>
        <w:t xml:space="preserve"> as it encourages not only practise in a modern </w:t>
      </w:r>
      <w:r w:rsidR="00AC1075" w:rsidRPr="00C8380A">
        <w:rPr>
          <w:rFonts w:eastAsia="Times New Roman" w:cs="Times New Roman"/>
          <w:color w:val="000000"/>
          <w:szCs w:val="24"/>
          <w:lang w:eastAsia="en-AU"/>
        </w:rPr>
        <w:lastRenderedPageBreak/>
        <w:t xml:space="preserve">form of communication but also directly integrates technology into the learning atmosphere, the skilled use of said technology being identified as a highly pertinent aptitude considering the rate of technical innovation. </w:t>
      </w:r>
      <w:r w:rsidR="00D90332" w:rsidRPr="00C8380A">
        <w:rPr>
          <w:rFonts w:eastAsia="Times New Roman" w:cs="Times New Roman"/>
          <w:color w:val="000000"/>
          <w:szCs w:val="24"/>
          <w:lang w:eastAsia="en-AU"/>
        </w:rPr>
        <w:t xml:space="preserve">While he did rationalise it as such, Dr </w:t>
      </w:r>
      <w:proofErr w:type="spellStart"/>
      <w:r w:rsidR="00D90332" w:rsidRPr="00C8380A">
        <w:rPr>
          <w:rFonts w:eastAsia="Times New Roman" w:cs="Times New Roman"/>
          <w:color w:val="000000"/>
          <w:szCs w:val="24"/>
          <w:lang w:eastAsia="en-AU"/>
        </w:rPr>
        <w:t>Sukunesan</w:t>
      </w:r>
      <w:proofErr w:type="spellEnd"/>
      <w:r w:rsidR="00D90332" w:rsidRPr="00C8380A">
        <w:rPr>
          <w:rFonts w:eastAsia="Times New Roman" w:cs="Times New Roman"/>
          <w:color w:val="000000"/>
          <w:szCs w:val="24"/>
          <w:lang w:eastAsia="en-AU"/>
        </w:rPr>
        <w:t xml:space="preserve"> is also in the process of developing innovations in his lecture delivery methods that provide excellent practise for utilising technology as a means of accessing information. He is in the process of creating a system of recording a lecture while also being able to convert the audio into a text</w:t>
      </w:r>
      <w:r w:rsidR="002C1F34">
        <w:rPr>
          <w:rFonts w:eastAsia="Times New Roman" w:cs="Times New Roman"/>
          <w:color w:val="000000"/>
          <w:szCs w:val="24"/>
          <w:lang w:eastAsia="en-AU"/>
        </w:rPr>
        <w:t>-</w:t>
      </w:r>
      <w:r w:rsidR="00D90332" w:rsidRPr="00C8380A">
        <w:rPr>
          <w:rFonts w:eastAsia="Times New Roman" w:cs="Times New Roman"/>
          <w:color w:val="000000"/>
          <w:szCs w:val="24"/>
          <w:lang w:eastAsia="en-AU"/>
        </w:rPr>
        <w:t xml:space="preserve">based format. These transcripts are then distributed to the student body in such a format that they </w:t>
      </w:r>
      <w:r w:rsidR="00CA0B01" w:rsidRPr="00C8380A">
        <w:rPr>
          <w:rFonts w:eastAsia="Times New Roman" w:cs="Times New Roman"/>
          <w:color w:val="000000"/>
          <w:szCs w:val="24"/>
          <w:lang w:eastAsia="en-AU"/>
        </w:rPr>
        <w:t>can</w:t>
      </w:r>
      <w:r w:rsidR="00D90332" w:rsidRPr="00C8380A">
        <w:rPr>
          <w:rFonts w:eastAsia="Times New Roman" w:cs="Times New Roman"/>
          <w:color w:val="000000"/>
          <w:szCs w:val="24"/>
          <w:lang w:eastAsia="en-AU"/>
        </w:rPr>
        <w:t xml:space="preserve"> search the document, highlight relevant information, and proceed to a timestamp in the audio </w:t>
      </w:r>
      <w:proofErr w:type="spellStart"/>
      <w:r w:rsidR="00D90332" w:rsidRPr="00C8380A">
        <w:rPr>
          <w:rFonts w:eastAsia="Times New Roman" w:cs="Times New Roman"/>
          <w:color w:val="000000"/>
          <w:szCs w:val="24"/>
          <w:lang w:eastAsia="en-AU"/>
        </w:rPr>
        <w:t>itself.</w:t>
      </w:r>
      <w:r w:rsidR="00CA0B01" w:rsidRPr="00C8380A">
        <w:rPr>
          <w:rFonts w:eastAsia="Times New Roman" w:cs="Times New Roman"/>
          <w:color w:val="000000"/>
          <w:szCs w:val="24"/>
          <w:lang w:eastAsia="en-AU"/>
        </w:rPr>
        <w:t>Dr</w:t>
      </w:r>
      <w:proofErr w:type="spellEnd"/>
      <w:r w:rsidR="00CA0B01" w:rsidRPr="00C8380A">
        <w:rPr>
          <w:rFonts w:eastAsia="Times New Roman" w:cs="Times New Roman"/>
          <w:color w:val="000000"/>
          <w:szCs w:val="24"/>
          <w:lang w:eastAsia="en-AU"/>
        </w:rPr>
        <w:t xml:space="preserve"> </w:t>
      </w:r>
      <w:proofErr w:type="spellStart"/>
      <w:r w:rsidR="00CA0B01" w:rsidRPr="00C8380A">
        <w:rPr>
          <w:rFonts w:eastAsia="Times New Roman" w:cs="Times New Roman"/>
          <w:color w:val="000000"/>
          <w:szCs w:val="24"/>
          <w:lang w:eastAsia="en-AU"/>
        </w:rPr>
        <w:t>Sukunesan</w:t>
      </w:r>
      <w:proofErr w:type="spellEnd"/>
      <w:r w:rsidR="00CA0B01" w:rsidRPr="00C8380A">
        <w:rPr>
          <w:rFonts w:eastAsia="Times New Roman" w:cs="Times New Roman"/>
          <w:color w:val="000000"/>
          <w:szCs w:val="24"/>
          <w:lang w:eastAsia="en-AU"/>
        </w:rPr>
        <w:t xml:space="preserve"> is very encouraged by this technical innovation as a means by which students who either studying from long distance or are unable to consistently attend a lecture can still access the knowledge that he is presenting. While it is an excellent goal to increase accessibility, the fact that it also aligns with developing skill </w:t>
      </w:r>
      <w:r w:rsidR="00F57CCE" w:rsidRPr="00C8380A">
        <w:rPr>
          <w:rFonts w:eastAsia="Times New Roman" w:cs="Times New Roman"/>
          <w:color w:val="000000"/>
          <w:szCs w:val="24"/>
          <w:lang w:eastAsia="en-AU"/>
        </w:rPr>
        <w:t xml:space="preserve">in </w:t>
      </w:r>
      <w:r w:rsidR="002C1F34">
        <w:rPr>
          <w:rFonts w:eastAsia="Times New Roman" w:cs="Times New Roman"/>
          <w:color w:val="000000"/>
          <w:szCs w:val="24"/>
          <w:lang w:eastAsia="en-AU"/>
        </w:rPr>
        <w:t xml:space="preserve">the </w:t>
      </w:r>
      <w:r w:rsidR="00F57CCE" w:rsidRPr="00C8380A">
        <w:rPr>
          <w:rFonts w:eastAsia="Times New Roman" w:cs="Times New Roman"/>
          <w:color w:val="000000"/>
          <w:szCs w:val="24"/>
          <w:lang w:eastAsia="en-AU"/>
        </w:rPr>
        <w:t xml:space="preserve">positive use of technology to bridge these distances is also extremely valuable. </w:t>
      </w:r>
    </w:p>
    <w:p w14:paraId="672F0830" w14:textId="6D18AC4F" w:rsidR="00F57CCE" w:rsidRPr="00C8380A" w:rsidRDefault="00F57CCE"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Dr </w:t>
      </w:r>
      <w:proofErr w:type="spellStart"/>
      <w:r w:rsidRPr="00C8380A">
        <w:rPr>
          <w:rFonts w:eastAsia="Times New Roman" w:cs="Times New Roman"/>
          <w:color w:val="000000"/>
          <w:szCs w:val="24"/>
          <w:lang w:eastAsia="en-AU"/>
        </w:rPr>
        <w:t>Rixon</w:t>
      </w:r>
      <w:proofErr w:type="spellEnd"/>
      <w:r w:rsidRPr="00C8380A">
        <w:rPr>
          <w:rFonts w:eastAsia="Times New Roman" w:cs="Times New Roman"/>
          <w:color w:val="000000"/>
          <w:szCs w:val="24"/>
          <w:lang w:eastAsia="en-AU"/>
        </w:rPr>
        <w:t xml:space="preserve"> (2019a) provided excellent examples of ways to be innovat</w:t>
      </w:r>
      <w:r w:rsidR="002C1F34">
        <w:rPr>
          <w:rFonts w:eastAsia="Times New Roman" w:cs="Times New Roman"/>
          <w:color w:val="000000"/>
          <w:szCs w:val="24"/>
          <w:lang w:eastAsia="en-AU"/>
        </w:rPr>
        <w:t>ive</w:t>
      </w:r>
      <w:r w:rsidRPr="00C8380A">
        <w:rPr>
          <w:rFonts w:eastAsia="Times New Roman" w:cs="Times New Roman"/>
          <w:color w:val="000000"/>
          <w:szCs w:val="24"/>
          <w:lang w:eastAsia="en-AU"/>
        </w:rPr>
        <w:t xml:space="preserve"> in teaching 21</w:t>
      </w:r>
      <w:r w:rsidRPr="00C8380A">
        <w:rPr>
          <w:rFonts w:eastAsia="Times New Roman" w:cs="Times New Roman"/>
          <w:color w:val="000000"/>
          <w:szCs w:val="24"/>
          <w:vertAlign w:val="superscript"/>
          <w:lang w:eastAsia="en-AU"/>
        </w:rPr>
        <w:t>st</w:t>
      </w:r>
      <w:r w:rsidRPr="00C8380A">
        <w:rPr>
          <w:rFonts w:eastAsia="Times New Roman" w:cs="Times New Roman"/>
          <w:color w:val="000000"/>
          <w:szCs w:val="24"/>
          <w:lang w:eastAsia="en-AU"/>
        </w:rPr>
        <w:t xml:space="preserve"> century skills, particularly in the areas of collaboration and networking. In the units that he teaches, to highlight these skills he structures the group work with a series of gates throughout the semester which in his experience requires the team to collaborate for longer. During this time as well, each team is assigned an industry professional who works as an advisor to the group while they’re producing their final product whatever that may be. In his experience, Dr. </w:t>
      </w:r>
      <w:proofErr w:type="spellStart"/>
      <w:r w:rsidRPr="00C8380A">
        <w:rPr>
          <w:rFonts w:eastAsia="Times New Roman" w:cs="Times New Roman"/>
          <w:color w:val="000000"/>
          <w:szCs w:val="24"/>
          <w:lang w:eastAsia="en-AU"/>
        </w:rPr>
        <w:t>Rixon</w:t>
      </w:r>
      <w:proofErr w:type="spellEnd"/>
      <w:r w:rsidRPr="00C8380A">
        <w:rPr>
          <w:rFonts w:eastAsia="Times New Roman" w:cs="Times New Roman"/>
          <w:color w:val="000000"/>
          <w:szCs w:val="24"/>
          <w:lang w:eastAsia="en-AU"/>
        </w:rPr>
        <w:t xml:space="preserve"> (2019a) finds that </w:t>
      </w:r>
      <w:r w:rsidR="004D509C" w:rsidRPr="00C8380A">
        <w:rPr>
          <w:rFonts w:eastAsia="Times New Roman" w:cs="Times New Roman"/>
          <w:color w:val="000000"/>
          <w:szCs w:val="24"/>
          <w:lang w:eastAsia="en-AU"/>
        </w:rPr>
        <w:t>this method</w:t>
      </w:r>
      <w:r w:rsidRPr="00C8380A">
        <w:rPr>
          <w:rFonts w:eastAsia="Times New Roman" w:cs="Times New Roman"/>
          <w:color w:val="000000"/>
          <w:szCs w:val="24"/>
          <w:lang w:eastAsia="en-AU"/>
        </w:rPr>
        <w:t xml:space="preserve"> aids in developing </w:t>
      </w:r>
      <w:r w:rsidR="004D509C" w:rsidRPr="00C8380A">
        <w:rPr>
          <w:rFonts w:eastAsia="Times New Roman" w:cs="Times New Roman"/>
          <w:color w:val="000000"/>
          <w:szCs w:val="24"/>
          <w:lang w:eastAsia="en-AU"/>
        </w:rPr>
        <w:t xml:space="preserve">a sense of ownership and responsibility within the team members while also allowing every team member an opportunity to practise, and realise the benefits of, networking with industry professionals. This technique of consistent assessment of tasks throughout the semester is supported by </w:t>
      </w:r>
      <w:proofErr w:type="spellStart"/>
      <w:r w:rsidR="004D509C" w:rsidRPr="00C8380A">
        <w:rPr>
          <w:rFonts w:eastAsia="Times New Roman" w:cs="Times New Roman"/>
          <w:color w:val="000000"/>
          <w:szCs w:val="24"/>
          <w:lang w:eastAsia="en-AU"/>
        </w:rPr>
        <w:t>Nilson</w:t>
      </w:r>
      <w:proofErr w:type="spellEnd"/>
      <w:r w:rsidR="004D509C" w:rsidRPr="00C8380A">
        <w:rPr>
          <w:rFonts w:eastAsia="Times New Roman" w:cs="Times New Roman"/>
          <w:color w:val="000000"/>
          <w:szCs w:val="24"/>
          <w:lang w:eastAsia="en-AU"/>
        </w:rPr>
        <w:t xml:space="preserve"> (2010) as </w:t>
      </w:r>
      <w:r w:rsidR="002C1F34">
        <w:rPr>
          <w:rFonts w:eastAsia="Times New Roman" w:cs="Times New Roman"/>
          <w:color w:val="000000"/>
          <w:szCs w:val="24"/>
          <w:lang w:eastAsia="en-AU"/>
        </w:rPr>
        <w:t xml:space="preserve">a </w:t>
      </w:r>
      <w:r w:rsidR="004D509C" w:rsidRPr="00C8380A">
        <w:rPr>
          <w:rFonts w:eastAsia="Times New Roman" w:cs="Times New Roman"/>
          <w:color w:val="000000"/>
          <w:szCs w:val="24"/>
          <w:lang w:eastAsia="en-AU"/>
        </w:rPr>
        <w:t xml:space="preserve">way of managing the oft fraught group project experience. </w:t>
      </w:r>
    </w:p>
    <w:p w14:paraId="39D38594" w14:textId="3FCADB8E" w:rsidR="004F2156" w:rsidRPr="00C8380A" w:rsidRDefault="004F2156"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The importance of motivation </w:t>
      </w:r>
      <w:r w:rsidR="007F3006" w:rsidRPr="00C8380A">
        <w:rPr>
          <w:rFonts w:eastAsia="Times New Roman" w:cs="Times New Roman"/>
          <w:color w:val="000000"/>
          <w:szCs w:val="24"/>
          <w:lang w:eastAsia="en-AU"/>
        </w:rPr>
        <w:t xml:space="preserve">presented an interesting difference between the participants of the study. When discussing the subject, Dr </w:t>
      </w:r>
      <w:proofErr w:type="spellStart"/>
      <w:r w:rsidR="007F3006" w:rsidRPr="00C8380A">
        <w:rPr>
          <w:rFonts w:eastAsia="Times New Roman" w:cs="Times New Roman"/>
          <w:color w:val="000000"/>
          <w:szCs w:val="24"/>
          <w:lang w:eastAsia="en-AU"/>
        </w:rPr>
        <w:t>Sukunesan</w:t>
      </w:r>
      <w:proofErr w:type="spellEnd"/>
      <w:r w:rsidR="007F3006" w:rsidRPr="00C8380A">
        <w:rPr>
          <w:rFonts w:eastAsia="Times New Roman" w:cs="Times New Roman"/>
          <w:color w:val="000000"/>
          <w:szCs w:val="24"/>
          <w:lang w:eastAsia="en-AU"/>
        </w:rPr>
        <w:t xml:space="preserve"> was very clear that motivation in his </w:t>
      </w:r>
      <w:r w:rsidR="007F3006" w:rsidRPr="00C8380A">
        <w:rPr>
          <w:rFonts w:eastAsia="Times New Roman" w:cs="Times New Roman"/>
          <w:color w:val="000000"/>
          <w:szCs w:val="24"/>
          <w:lang w:eastAsia="en-AU"/>
        </w:rPr>
        <w:lastRenderedPageBreak/>
        <w:t>mind had to come from the students even to the point of assigning students to work groups based upon the level of motivation that he perceived. On the other side of the spectrum</w:t>
      </w:r>
      <w:r w:rsidR="002C1F34">
        <w:rPr>
          <w:rFonts w:eastAsia="Times New Roman" w:cs="Times New Roman"/>
          <w:color w:val="000000"/>
          <w:szCs w:val="24"/>
          <w:lang w:eastAsia="en-AU"/>
        </w:rPr>
        <w:t>,</w:t>
      </w:r>
      <w:r w:rsidR="007F3006" w:rsidRPr="00C8380A">
        <w:rPr>
          <w:rFonts w:eastAsia="Times New Roman" w:cs="Times New Roman"/>
          <w:color w:val="000000"/>
          <w:szCs w:val="24"/>
          <w:lang w:eastAsia="en-AU"/>
        </w:rPr>
        <w:t xml:space="preserve"> Dr </w:t>
      </w:r>
      <w:proofErr w:type="spellStart"/>
      <w:r w:rsidR="007F3006" w:rsidRPr="00C8380A">
        <w:rPr>
          <w:rFonts w:eastAsia="Times New Roman" w:cs="Times New Roman"/>
          <w:color w:val="000000"/>
          <w:szCs w:val="24"/>
          <w:lang w:eastAsia="en-AU"/>
        </w:rPr>
        <w:t>Rixon</w:t>
      </w:r>
      <w:proofErr w:type="spellEnd"/>
      <w:r w:rsidR="007F3006" w:rsidRPr="00C8380A">
        <w:rPr>
          <w:rFonts w:eastAsia="Times New Roman" w:cs="Times New Roman"/>
          <w:color w:val="000000"/>
          <w:szCs w:val="24"/>
          <w:lang w:eastAsia="en-AU"/>
        </w:rPr>
        <w:t xml:space="preserve"> appeared to actively work to increase the level of motivation within the student body by utilising the concepts of professional purpose (</w:t>
      </w:r>
      <w:r w:rsidR="00C8380A" w:rsidRPr="00C8380A">
        <w:rPr>
          <w:rFonts w:eastAsia="Times New Roman" w:cs="Times New Roman"/>
          <w:color w:val="000000"/>
          <w:szCs w:val="24"/>
          <w:lang w:eastAsia="en-AU"/>
        </w:rPr>
        <w:t xml:space="preserve">Bates, </w:t>
      </w:r>
      <w:proofErr w:type="spellStart"/>
      <w:r w:rsidR="007F3006" w:rsidRPr="00C8380A">
        <w:rPr>
          <w:rFonts w:eastAsia="Times New Roman" w:cs="Times New Roman"/>
          <w:color w:val="000000"/>
          <w:szCs w:val="24"/>
          <w:lang w:eastAsia="en-AU"/>
        </w:rPr>
        <w:t>Rixon</w:t>
      </w:r>
      <w:proofErr w:type="spellEnd"/>
      <w:r w:rsidR="00C8380A" w:rsidRPr="00C8380A">
        <w:rPr>
          <w:rFonts w:eastAsia="Times New Roman" w:cs="Times New Roman"/>
          <w:color w:val="000000"/>
          <w:szCs w:val="24"/>
          <w:lang w:eastAsia="en-AU"/>
        </w:rPr>
        <w:t>, Carbone, Pilgrim</w:t>
      </w:r>
      <w:r w:rsidR="007F3006" w:rsidRPr="00C8380A">
        <w:rPr>
          <w:rFonts w:eastAsia="Times New Roman" w:cs="Times New Roman"/>
          <w:color w:val="000000"/>
          <w:szCs w:val="24"/>
          <w:lang w:eastAsia="en-AU"/>
        </w:rPr>
        <w:t xml:space="preserve">, 2019b). This methodology of Dr </w:t>
      </w:r>
      <w:proofErr w:type="spellStart"/>
      <w:r w:rsidR="007F3006" w:rsidRPr="00C8380A">
        <w:rPr>
          <w:rFonts w:eastAsia="Times New Roman" w:cs="Times New Roman"/>
          <w:color w:val="000000"/>
          <w:szCs w:val="24"/>
          <w:lang w:eastAsia="en-AU"/>
        </w:rPr>
        <w:t>Rixon’s</w:t>
      </w:r>
      <w:proofErr w:type="spellEnd"/>
      <w:r w:rsidR="007F3006" w:rsidRPr="00C8380A">
        <w:rPr>
          <w:rFonts w:eastAsia="Times New Roman" w:cs="Times New Roman"/>
          <w:color w:val="000000"/>
          <w:szCs w:val="24"/>
          <w:lang w:eastAsia="en-AU"/>
        </w:rPr>
        <w:t xml:space="preserve"> also aligns well with the research presented by </w:t>
      </w:r>
      <w:proofErr w:type="spellStart"/>
      <w:r w:rsidR="007F3006" w:rsidRPr="00C8380A">
        <w:rPr>
          <w:rFonts w:eastAsia="Times New Roman" w:cs="Times New Roman"/>
          <w:color w:val="000000"/>
          <w:szCs w:val="24"/>
          <w:lang w:eastAsia="en-AU"/>
        </w:rPr>
        <w:t>Gulikers</w:t>
      </w:r>
      <w:proofErr w:type="spellEnd"/>
      <w:r w:rsidR="007F3006" w:rsidRPr="00C8380A">
        <w:rPr>
          <w:rFonts w:eastAsia="Times New Roman" w:cs="Times New Roman"/>
          <w:color w:val="000000"/>
          <w:szCs w:val="24"/>
          <w:lang w:eastAsia="en-AU"/>
        </w:rPr>
        <w:t xml:space="preserve"> (2004) that assessment that </w:t>
      </w:r>
      <w:r w:rsidR="00347825" w:rsidRPr="00C8380A">
        <w:rPr>
          <w:rFonts w:eastAsia="Times New Roman" w:cs="Times New Roman"/>
          <w:color w:val="000000"/>
          <w:szCs w:val="24"/>
          <w:lang w:eastAsia="en-AU"/>
        </w:rPr>
        <w:t xml:space="preserve">has </w:t>
      </w:r>
      <w:r w:rsidR="002C1F34">
        <w:rPr>
          <w:rFonts w:eastAsia="Times New Roman" w:cs="Times New Roman"/>
          <w:color w:val="000000"/>
          <w:szCs w:val="24"/>
          <w:lang w:eastAsia="en-AU"/>
        </w:rPr>
        <w:t xml:space="preserve">an </w:t>
      </w:r>
      <w:r w:rsidR="00347825" w:rsidRPr="00C8380A">
        <w:rPr>
          <w:rFonts w:eastAsia="Times New Roman" w:cs="Times New Roman"/>
          <w:color w:val="000000"/>
          <w:szCs w:val="24"/>
          <w:lang w:eastAsia="en-AU"/>
        </w:rPr>
        <w:t xml:space="preserve">authenticity to the students will also be able to increase their intrinsic motivation to engage with the task. A possible point to the difference between the two participants can be from their backgrounds, Dr </w:t>
      </w:r>
      <w:proofErr w:type="spellStart"/>
      <w:r w:rsidR="00347825" w:rsidRPr="00C8380A">
        <w:rPr>
          <w:rFonts w:eastAsia="Times New Roman" w:cs="Times New Roman"/>
          <w:color w:val="000000"/>
          <w:szCs w:val="24"/>
          <w:lang w:eastAsia="en-AU"/>
        </w:rPr>
        <w:t>Rixon</w:t>
      </w:r>
      <w:proofErr w:type="spellEnd"/>
      <w:r w:rsidR="00347825" w:rsidRPr="00C8380A">
        <w:rPr>
          <w:rFonts w:eastAsia="Times New Roman" w:cs="Times New Roman"/>
          <w:color w:val="000000"/>
          <w:szCs w:val="24"/>
          <w:lang w:eastAsia="en-AU"/>
        </w:rPr>
        <w:t xml:space="preserve"> has only been in academia for the last few years after moving on from a successful career in the corporate world working with dysfunctional project teams. As a consultant</w:t>
      </w:r>
      <w:r w:rsidR="002C1F34">
        <w:rPr>
          <w:rFonts w:eastAsia="Times New Roman" w:cs="Times New Roman"/>
          <w:color w:val="000000"/>
          <w:szCs w:val="24"/>
          <w:lang w:eastAsia="en-AU"/>
        </w:rPr>
        <w:t>,</w:t>
      </w:r>
      <w:r w:rsidR="00347825" w:rsidRPr="00C8380A">
        <w:rPr>
          <w:rFonts w:eastAsia="Times New Roman" w:cs="Times New Roman"/>
          <w:color w:val="000000"/>
          <w:szCs w:val="24"/>
          <w:lang w:eastAsia="en-AU"/>
        </w:rPr>
        <w:t xml:space="preserve"> he was tasked with engaging and motivating these teams</w:t>
      </w:r>
      <w:r w:rsidR="002C1F34">
        <w:rPr>
          <w:rFonts w:eastAsia="Times New Roman" w:cs="Times New Roman"/>
          <w:color w:val="000000"/>
          <w:szCs w:val="24"/>
          <w:lang w:eastAsia="en-AU"/>
        </w:rPr>
        <w:t>,</w:t>
      </w:r>
      <w:r w:rsidR="00347825" w:rsidRPr="00C8380A">
        <w:rPr>
          <w:rFonts w:eastAsia="Times New Roman" w:cs="Times New Roman"/>
          <w:color w:val="000000"/>
          <w:szCs w:val="24"/>
          <w:lang w:eastAsia="en-AU"/>
        </w:rPr>
        <w:t xml:space="preserve"> and he appears to have brought not only the skills in doing so but also the motivation to build a learning environment for those with whom he is engaging. </w:t>
      </w:r>
    </w:p>
    <w:p w14:paraId="5B9FD8BD" w14:textId="7FC679D2" w:rsidR="00347825" w:rsidRPr="00C8380A" w:rsidRDefault="00347825"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This concept of a learning environment was discussed with both participants utilising the question from Wagner (2015) about whether each man felt themselves to be </w:t>
      </w:r>
      <w:r w:rsidR="002C1F34">
        <w:rPr>
          <w:rFonts w:eastAsia="Times New Roman" w:cs="Times New Roman"/>
          <w:color w:val="000000"/>
          <w:szCs w:val="24"/>
          <w:lang w:eastAsia="en-AU"/>
        </w:rPr>
        <w:t xml:space="preserve">a </w:t>
      </w:r>
      <w:r w:rsidRPr="00C8380A">
        <w:rPr>
          <w:rFonts w:eastAsia="Times New Roman" w:cs="Times New Roman"/>
          <w:color w:val="000000"/>
          <w:szCs w:val="24"/>
          <w:lang w:eastAsia="en-AU"/>
        </w:rPr>
        <w:t xml:space="preserve">teacher or there to help people learn. This discussion moved on to the area </w:t>
      </w:r>
      <w:r w:rsidR="009E2B24" w:rsidRPr="00C8380A">
        <w:rPr>
          <w:rFonts w:eastAsia="Times New Roman" w:cs="Times New Roman"/>
          <w:color w:val="000000"/>
          <w:szCs w:val="24"/>
          <w:lang w:eastAsia="en-AU"/>
        </w:rPr>
        <w:t xml:space="preserve">of lecturing and </w:t>
      </w:r>
      <w:r w:rsidR="002C1F34">
        <w:rPr>
          <w:rFonts w:eastAsia="Times New Roman" w:cs="Times New Roman"/>
          <w:color w:val="000000"/>
          <w:szCs w:val="24"/>
          <w:lang w:eastAsia="en-AU"/>
        </w:rPr>
        <w:t>how</w:t>
      </w:r>
      <w:r w:rsidR="009E2B24" w:rsidRPr="00C8380A">
        <w:rPr>
          <w:rFonts w:eastAsia="Times New Roman" w:cs="Times New Roman"/>
          <w:color w:val="000000"/>
          <w:szCs w:val="24"/>
          <w:lang w:eastAsia="en-AU"/>
        </w:rPr>
        <w:t xml:space="preserve"> students engage with the teacher as a means of learning. Here again</w:t>
      </w:r>
      <w:r w:rsidR="002C1F34">
        <w:rPr>
          <w:rFonts w:eastAsia="Times New Roman" w:cs="Times New Roman"/>
          <w:color w:val="000000"/>
          <w:szCs w:val="24"/>
          <w:lang w:eastAsia="en-AU"/>
        </w:rPr>
        <w:t>,</w:t>
      </w:r>
      <w:r w:rsidR="009E2B24" w:rsidRPr="00C8380A">
        <w:rPr>
          <w:rFonts w:eastAsia="Times New Roman" w:cs="Times New Roman"/>
          <w:color w:val="000000"/>
          <w:szCs w:val="24"/>
          <w:lang w:eastAsia="en-AU"/>
        </w:rPr>
        <w:t xml:space="preserve"> we find a difference in style between the two participants that somewhat is indicative of professional history and expectations. While Dr </w:t>
      </w:r>
      <w:proofErr w:type="spellStart"/>
      <w:r w:rsidR="009E2B24" w:rsidRPr="00C8380A">
        <w:rPr>
          <w:rFonts w:eastAsia="Times New Roman" w:cs="Times New Roman"/>
          <w:color w:val="000000"/>
          <w:szCs w:val="24"/>
          <w:lang w:eastAsia="en-AU"/>
        </w:rPr>
        <w:t>Sukunesan</w:t>
      </w:r>
      <w:proofErr w:type="spellEnd"/>
      <w:r w:rsidR="009E2B24" w:rsidRPr="00C8380A">
        <w:rPr>
          <w:rFonts w:eastAsia="Times New Roman" w:cs="Times New Roman"/>
          <w:color w:val="000000"/>
          <w:szCs w:val="24"/>
          <w:lang w:eastAsia="en-AU"/>
        </w:rPr>
        <w:t xml:space="preserve"> does an extensive amount of innovation within the means of how he gives his lectures, it </w:t>
      </w:r>
      <w:r w:rsidR="00B97998" w:rsidRPr="00C8380A">
        <w:rPr>
          <w:rFonts w:eastAsia="Times New Roman" w:cs="Times New Roman"/>
          <w:color w:val="000000"/>
          <w:szCs w:val="24"/>
          <w:lang w:eastAsia="en-AU"/>
        </w:rPr>
        <w:t>appears</w:t>
      </w:r>
      <w:r w:rsidR="009E2B24" w:rsidRPr="00C8380A">
        <w:rPr>
          <w:rFonts w:eastAsia="Times New Roman" w:cs="Times New Roman"/>
          <w:color w:val="000000"/>
          <w:szCs w:val="24"/>
          <w:lang w:eastAsia="en-AU"/>
        </w:rPr>
        <w:t xml:space="preserve"> that he does </w:t>
      </w:r>
      <w:r w:rsidR="002C1F34">
        <w:rPr>
          <w:rFonts w:eastAsia="Times New Roman" w:cs="Times New Roman"/>
          <w:color w:val="000000"/>
          <w:szCs w:val="24"/>
          <w:lang w:eastAsia="en-AU"/>
        </w:rPr>
        <w:t xml:space="preserve">prioritises </w:t>
      </w:r>
      <w:r w:rsidR="009E2B24" w:rsidRPr="00C8380A">
        <w:rPr>
          <w:rFonts w:eastAsia="Times New Roman" w:cs="Times New Roman"/>
          <w:color w:val="000000"/>
          <w:szCs w:val="24"/>
          <w:lang w:eastAsia="en-AU"/>
        </w:rPr>
        <w:t xml:space="preserve">content </w:t>
      </w:r>
      <w:r w:rsidR="002C1F34">
        <w:rPr>
          <w:rFonts w:eastAsia="Times New Roman" w:cs="Times New Roman"/>
          <w:color w:val="000000"/>
          <w:szCs w:val="24"/>
          <w:lang w:eastAsia="en-AU"/>
        </w:rPr>
        <w:t>passing</w:t>
      </w:r>
      <w:r w:rsidR="009E2B24" w:rsidRPr="00C8380A">
        <w:rPr>
          <w:rFonts w:eastAsia="Times New Roman" w:cs="Times New Roman"/>
          <w:color w:val="000000"/>
          <w:szCs w:val="24"/>
          <w:lang w:eastAsia="en-AU"/>
        </w:rPr>
        <w:t xml:space="preserve"> from him to </w:t>
      </w:r>
      <w:r w:rsidR="002C1F34">
        <w:rPr>
          <w:rFonts w:eastAsia="Times New Roman" w:cs="Times New Roman"/>
          <w:color w:val="000000"/>
          <w:szCs w:val="24"/>
          <w:lang w:eastAsia="en-AU"/>
        </w:rPr>
        <w:t>the students.</w:t>
      </w:r>
      <w:r w:rsidR="00B97998" w:rsidRPr="00C8380A">
        <w:rPr>
          <w:rFonts w:eastAsia="Times New Roman" w:cs="Times New Roman"/>
          <w:color w:val="000000"/>
          <w:szCs w:val="24"/>
          <w:lang w:eastAsia="en-AU"/>
        </w:rPr>
        <w:t xml:space="preserve"> </w:t>
      </w:r>
      <w:r w:rsidR="002C1F34">
        <w:rPr>
          <w:rFonts w:eastAsia="Times New Roman" w:cs="Times New Roman"/>
          <w:color w:val="000000"/>
          <w:szCs w:val="24"/>
          <w:lang w:eastAsia="en-AU"/>
        </w:rPr>
        <w:t>He could instead</w:t>
      </w:r>
      <w:r w:rsidR="00B97998" w:rsidRPr="00C8380A">
        <w:rPr>
          <w:rFonts w:eastAsia="Times New Roman" w:cs="Times New Roman"/>
          <w:color w:val="000000"/>
          <w:szCs w:val="24"/>
          <w:lang w:eastAsia="en-AU"/>
        </w:rPr>
        <w:t xml:space="preserve"> </w:t>
      </w:r>
      <w:r w:rsidR="002C1F34">
        <w:rPr>
          <w:rFonts w:eastAsia="Times New Roman" w:cs="Times New Roman"/>
          <w:color w:val="000000"/>
          <w:szCs w:val="24"/>
          <w:lang w:eastAsia="en-AU"/>
        </w:rPr>
        <w:t>adopt</w:t>
      </w:r>
      <w:r w:rsidR="00B97998" w:rsidRPr="00C8380A">
        <w:rPr>
          <w:rFonts w:eastAsia="Times New Roman" w:cs="Times New Roman"/>
          <w:color w:val="000000"/>
          <w:szCs w:val="24"/>
          <w:lang w:eastAsia="en-AU"/>
        </w:rPr>
        <w:t xml:space="preserve"> a methodology, as presented by Mazur (</w:t>
      </w:r>
      <w:r w:rsidR="00936C3F" w:rsidRPr="00C8380A">
        <w:rPr>
          <w:rFonts w:eastAsia="Times New Roman" w:cs="Times New Roman"/>
          <w:color w:val="000000"/>
          <w:szCs w:val="24"/>
          <w:lang w:eastAsia="en-AU"/>
        </w:rPr>
        <w:t>2001</w:t>
      </w:r>
      <w:r w:rsidR="00B97998" w:rsidRPr="00C8380A">
        <w:rPr>
          <w:rFonts w:eastAsia="Times New Roman" w:cs="Times New Roman"/>
          <w:color w:val="000000"/>
          <w:szCs w:val="24"/>
          <w:lang w:eastAsia="en-AU"/>
        </w:rPr>
        <w:t>), whereby the primary focus of the teacher is to facilit</w:t>
      </w:r>
      <w:r w:rsidR="002C1F34">
        <w:rPr>
          <w:rFonts w:eastAsia="Times New Roman" w:cs="Times New Roman"/>
          <w:color w:val="000000"/>
          <w:szCs w:val="24"/>
          <w:lang w:eastAsia="en-AU"/>
        </w:rPr>
        <w:t>ate</w:t>
      </w:r>
      <w:r w:rsidR="00B97998" w:rsidRPr="00C8380A">
        <w:rPr>
          <w:rFonts w:eastAsia="Times New Roman" w:cs="Times New Roman"/>
          <w:color w:val="000000"/>
          <w:szCs w:val="24"/>
          <w:lang w:eastAsia="en-AU"/>
        </w:rPr>
        <w:t xml:space="preserve"> </w:t>
      </w:r>
      <w:r w:rsidR="008921BB" w:rsidRPr="00C8380A">
        <w:rPr>
          <w:rFonts w:eastAsia="Times New Roman" w:cs="Times New Roman"/>
          <w:color w:val="000000"/>
          <w:szCs w:val="24"/>
          <w:lang w:eastAsia="en-AU"/>
        </w:rPr>
        <w:t xml:space="preserve">student interactions as a means to learn the content during the face to face time. </w:t>
      </w:r>
      <w:r w:rsidR="00936C3F" w:rsidRPr="00C8380A">
        <w:rPr>
          <w:rFonts w:eastAsia="Times New Roman" w:cs="Times New Roman"/>
          <w:color w:val="000000"/>
          <w:szCs w:val="24"/>
          <w:lang w:eastAsia="en-AU"/>
        </w:rPr>
        <w:t>There is</w:t>
      </w:r>
      <w:r w:rsidR="002C1F34">
        <w:rPr>
          <w:rFonts w:eastAsia="Times New Roman" w:cs="Times New Roman"/>
          <w:color w:val="000000"/>
          <w:szCs w:val="24"/>
          <w:lang w:eastAsia="en-AU"/>
        </w:rPr>
        <w:t>,</w:t>
      </w:r>
      <w:r w:rsidR="00936C3F" w:rsidRPr="00C8380A">
        <w:rPr>
          <w:rFonts w:eastAsia="Times New Roman" w:cs="Times New Roman"/>
          <w:color w:val="000000"/>
          <w:szCs w:val="24"/>
          <w:lang w:eastAsia="en-AU"/>
        </w:rPr>
        <w:t xml:space="preserve"> however</w:t>
      </w:r>
      <w:r w:rsidR="002C1F34">
        <w:rPr>
          <w:rFonts w:eastAsia="Times New Roman" w:cs="Times New Roman"/>
          <w:color w:val="000000"/>
          <w:szCs w:val="24"/>
          <w:lang w:eastAsia="en-AU"/>
        </w:rPr>
        <w:t>,</w:t>
      </w:r>
      <w:r w:rsidR="00936C3F" w:rsidRPr="00C8380A">
        <w:rPr>
          <w:rFonts w:eastAsia="Times New Roman" w:cs="Times New Roman"/>
          <w:color w:val="000000"/>
          <w:szCs w:val="24"/>
          <w:lang w:eastAsia="en-AU"/>
        </w:rPr>
        <w:t xml:space="preserve"> interaction with the planning setup of Dr </w:t>
      </w:r>
      <w:proofErr w:type="spellStart"/>
      <w:r w:rsidR="00936C3F" w:rsidRPr="00C8380A">
        <w:rPr>
          <w:rFonts w:eastAsia="Times New Roman" w:cs="Times New Roman"/>
          <w:color w:val="000000"/>
          <w:szCs w:val="24"/>
          <w:lang w:eastAsia="en-AU"/>
        </w:rPr>
        <w:t>S</w:t>
      </w:r>
      <w:r w:rsidR="001825E7" w:rsidRPr="00C8380A">
        <w:rPr>
          <w:rFonts w:eastAsia="Times New Roman" w:cs="Times New Roman"/>
          <w:color w:val="000000"/>
          <w:szCs w:val="24"/>
          <w:lang w:eastAsia="en-AU"/>
        </w:rPr>
        <w:t>u</w:t>
      </w:r>
      <w:r w:rsidR="00936C3F" w:rsidRPr="00C8380A">
        <w:rPr>
          <w:rFonts w:eastAsia="Times New Roman" w:cs="Times New Roman"/>
          <w:color w:val="000000"/>
          <w:szCs w:val="24"/>
          <w:lang w:eastAsia="en-AU"/>
        </w:rPr>
        <w:t>kunesan</w:t>
      </w:r>
      <w:proofErr w:type="spellEnd"/>
      <w:r w:rsidR="00936C3F" w:rsidRPr="00C8380A">
        <w:rPr>
          <w:rFonts w:eastAsia="Times New Roman" w:cs="Times New Roman"/>
          <w:color w:val="000000"/>
          <w:szCs w:val="24"/>
          <w:lang w:eastAsia="en-AU"/>
        </w:rPr>
        <w:t xml:space="preserve">, with his tutorials utilising innovations in the use </w:t>
      </w:r>
      <w:r w:rsidR="002C1F34">
        <w:rPr>
          <w:rFonts w:eastAsia="Times New Roman" w:cs="Times New Roman"/>
          <w:color w:val="000000"/>
          <w:szCs w:val="24"/>
          <w:lang w:eastAsia="en-AU"/>
        </w:rPr>
        <w:t>of</w:t>
      </w:r>
      <w:r w:rsidR="00936C3F" w:rsidRPr="00C8380A">
        <w:rPr>
          <w:rFonts w:eastAsia="Times New Roman" w:cs="Times New Roman"/>
          <w:color w:val="000000"/>
          <w:szCs w:val="24"/>
          <w:lang w:eastAsia="en-AU"/>
        </w:rPr>
        <w:t xml:space="preserve"> Twitter to encourage student engagement. To Dr </w:t>
      </w:r>
      <w:proofErr w:type="spellStart"/>
      <w:r w:rsidR="00936C3F" w:rsidRPr="00C8380A">
        <w:rPr>
          <w:rFonts w:eastAsia="Times New Roman" w:cs="Times New Roman"/>
          <w:color w:val="000000"/>
          <w:szCs w:val="24"/>
          <w:lang w:eastAsia="en-AU"/>
        </w:rPr>
        <w:t>Rixon</w:t>
      </w:r>
      <w:proofErr w:type="spellEnd"/>
      <w:r w:rsidR="00936C3F" w:rsidRPr="00C8380A">
        <w:rPr>
          <w:rFonts w:eastAsia="Times New Roman" w:cs="Times New Roman"/>
          <w:color w:val="000000"/>
          <w:szCs w:val="24"/>
          <w:lang w:eastAsia="en-AU"/>
        </w:rPr>
        <w:t xml:space="preserve">, lecturing is an inescapable part of his role however he structures his lessons in a 1 – 1 – 1 play, with lecture, tutorials, and online contents such as quizzes and forums making up the third slot. Both participants it does appear move beyond the historical convention of utilising lectures as the </w:t>
      </w:r>
      <w:r w:rsidR="00936C3F" w:rsidRPr="00C8380A">
        <w:rPr>
          <w:rFonts w:eastAsia="Times New Roman" w:cs="Times New Roman"/>
          <w:color w:val="000000"/>
          <w:szCs w:val="24"/>
          <w:lang w:eastAsia="en-AU"/>
        </w:rPr>
        <w:lastRenderedPageBreak/>
        <w:t xml:space="preserve">primary means of student engagement and instead manage to find a good balance of the three sources of knowledge as discussed by </w:t>
      </w:r>
      <w:proofErr w:type="spellStart"/>
      <w:r w:rsidR="00936C3F" w:rsidRPr="00C8380A">
        <w:rPr>
          <w:rFonts w:eastAsia="Times New Roman" w:cs="Times New Roman"/>
          <w:color w:val="000000"/>
          <w:szCs w:val="24"/>
          <w:lang w:eastAsia="en-AU"/>
        </w:rPr>
        <w:t>Nilson</w:t>
      </w:r>
      <w:proofErr w:type="spellEnd"/>
      <w:r w:rsidR="00936C3F" w:rsidRPr="00C8380A">
        <w:rPr>
          <w:rFonts w:eastAsia="Times New Roman" w:cs="Times New Roman"/>
          <w:color w:val="000000"/>
          <w:szCs w:val="24"/>
          <w:lang w:eastAsia="en-AU"/>
        </w:rPr>
        <w:t xml:space="preserve"> (2010) being teacher</w:t>
      </w:r>
      <w:r w:rsidR="002C1F34">
        <w:rPr>
          <w:rFonts w:eastAsia="Times New Roman" w:cs="Times New Roman"/>
          <w:color w:val="000000"/>
          <w:szCs w:val="24"/>
          <w:lang w:eastAsia="en-AU"/>
        </w:rPr>
        <w:t>-</w:t>
      </w:r>
      <w:r w:rsidR="00936C3F" w:rsidRPr="00C8380A">
        <w:rPr>
          <w:rFonts w:eastAsia="Times New Roman" w:cs="Times New Roman"/>
          <w:color w:val="000000"/>
          <w:szCs w:val="24"/>
          <w:lang w:eastAsia="en-AU"/>
        </w:rPr>
        <w:t>student – content. It is in the opinion of both interview subjects that the nature of the lecture environment is not conducive to deeper learning of either 21</w:t>
      </w:r>
      <w:r w:rsidR="00936C3F" w:rsidRPr="00C8380A">
        <w:rPr>
          <w:rFonts w:eastAsia="Times New Roman" w:cs="Times New Roman"/>
          <w:color w:val="000000"/>
          <w:szCs w:val="24"/>
          <w:vertAlign w:val="superscript"/>
          <w:lang w:eastAsia="en-AU"/>
        </w:rPr>
        <w:t>st</w:t>
      </w:r>
      <w:r w:rsidR="00936C3F" w:rsidRPr="00C8380A">
        <w:rPr>
          <w:rFonts w:eastAsia="Times New Roman" w:cs="Times New Roman"/>
          <w:color w:val="000000"/>
          <w:szCs w:val="24"/>
          <w:lang w:eastAsia="en-AU"/>
        </w:rPr>
        <w:t xml:space="preserve"> century skills or the content that is being presented, opinions of which match those of writers on the subject (Mazur, 2001; </w:t>
      </w:r>
      <w:r w:rsidR="00BD2C6E" w:rsidRPr="00C8380A">
        <w:rPr>
          <w:rFonts w:eastAsia="Times New Roman" w:cs="Times New Roman"/>
          <w:color w:val="000000"/>
          <w:szCs w:val="24"/>
          <w:lang w:eastAsia="en-AU"/>
        </w:rPr>
        <w:t xml:space="preserve">Wagner, &amp; </w:t>
      </w:r>
      <w:proofErr w:type="spellStart"/>
      <w:r w:rsidR="00BD2C6E" w:rsidRPr="00C8380A">
        <w:rPr>
          <w:rFonts w:eastAsia="Times New Roman" w:cs="Times New Roman"/>
          <w:color w:val="000000"/>
          <w:szCs w:val="24"/>
          <w:lang w:eastAsia="en-AU"/>
        </w:rPr>
        <w:t>Dintersmith</w:t>
      </w:r>
      <w:proofErr w:type="spellEnd"/>
      <w:r w:rsidR="00BD2C6E" w:rsidRPr="00C8380A">
        <w:rPr>
          <w:rFonts w:eastAsia="Times New Roman" w:cs="Times New Roman"/>
          <w:color w:val="000000"/>
          <w:szCs w:val="24"/>
          <w:lang w:eastAsia="en-AU"/>
        </w:rPr>
        <w:t>, 2015</w:t>
      </w:r>
      <w:r w:rsidR="00936C3F" w:rsidRPr="00C8380A">
        <w:rPr>
          <w:rFonts w:eastAsia="Times New Roman" w:cs="Times New Roman"/>
          <w:color w:val="000000"/>
          <w:szCs w:val="24"/>
          <w:lang w:eastAsia="en-AU"/>
        </w:rPr>
        <w:t xml:space="preserve">; </w:t>
      </w:r>
      <w:proofErr w:type="spellStart"/>
      <w:r w:rsidR="00936C3F" w:rsidRPr="00C8380A">
        <w:rPr>
          <w:rFonts w:eastAsia="Times New Roman" w:cs="Times New Roman"/>
          <w:color w:val="000000"/>
          <w:szCs w:val="24"/>
          <w:lang w:eastAsia="en-AU"/>
        </w:rPr>
        <w:t>Scardamalia</w:t>
      </w:r>
      <w:proofErr w:type="spellEnd"/>
      <w:r w:rsidR="00936C3F" w:rsidRPr="00C8380A">
        <w:rPr>
          <w:rFonts w:eastAsia="Times New Roman" w:cs="Times New Roman"/>
          <w:color w:val="000000"/>
          <w:szCs w:val="24"/>
          <w:lang w:eastAsia="en-AU"/>
        </w:rPr>
        <w:t xml:space="preserve"> et al, </w:t>
      </w:r>
      <w:r w:rsidR="009C775C" w:rsidRPr="00C8380A">
        <w:rPr>
          <w:rFonts w:eastAsia="Times New Roman" w:cs="Times New Roman"/>
          <w:color w:val="000000"/>
          <w:szCs w:val="24"/>
          <w:lang w:eastAsia="en-AU"/>
        </w:rPr>
        <w:t>2012</w:t>
      </w:r>
      <w:r w:rsidR="00936C3F" w:rsidRPr="00C8380A">
        <w:rPr>
          <w:rFonts w:eastAsia="Times New Roman" w:cs="Times New Roman"/>
          <w:color w:val="000000"/>
          <w:szCs w:val="24"/>
          <w:lang w:eastAsia="en-AU"/>
        </w:rPr>
        <w:t>)</w:t>
      </w:r>
    </w:p>
    <w:p w14:paraId="5A6FF36C" w14:textId="61B43F10" w:rsidR="009C775C" w:rsidRPr="00C8380A" w:rsidRDefault="009C775C"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When queried about why, in their opinion, the lecture format is the norm in the tertiary education system, rather than the adoption of new methods, both participants raised similar issues. Dr </w:t>
      </w:r>
      <w:proofErr w:type="spellStart"/>
      <w:r w:rsidRPr="00C8380A">
        <w:rPr>
          <w:rFonts w:eastAsia="Times New Roman" w:cs="Times New Roman"/>
          <w:color w:val="000000"/>
          <w:szCs w:val="24"/>
          <w:lang w:eastAsia="en-AU"/>
        </w:rPr>
        <w:t>Sukunesan</w:t>
      </w:r>
      <w:proofErr w:type="spellEnd"/>
      <w:r w:rsidRPr="00C8380A">
        <w:rPr>
          <w:rFonts w:eastAsia="Times New Roman" w:cs="Times New Roman"/>
          <w:color w:val="000000"/>
          <w:szCs w:val="24"/>
          <w:lang w:eastAsia="en-AU"/>
        </w:rPr>
        <w:t xml:space="preserve"> (2019) mentioned that due to the research focus of most of his peers, they defaulted in their teaching methods to those methods that they were familiar with from their past, i.e. lectures. This combined with assessments that were large and easy to grade in bulk meant that the time constraints placed upon these researchers, estimated to be 1 hour per semester per student for marking, was kept at a manageable volume. Dr </w:t>
      </w:r>
      <w:proofErr w:type="spellStart"/>
      <w:r w:rsidRPr="00C8380A">
        <w:rPr>
          <w:rFonts w:eastAsia="Times New Roman" w:cs="Times New Roman"/>
          <w:color w:val="000000"/>
          <w:szCs w:val="24"/>
          <w:lang w:eastAsia="en-AU"/>
        </w:rPr>
        <w:t>Rixon</w:t>
      </w:r>
      <w:proofErr w:type="spellEnd"/>
      <w:r w:rsidRPr="00C8380A">
        <w:rPr>
          <w:rFonts w:eastAsia="Times New Roman" w:cs="Times New Roman"/>
          <w:color w:val="000000"/>
          <w:szCs w:val="24"/>
          <w:lang w:eastAsia="en-AU"/>
        </w:rPr>
        <w:t xml:space="preserve"> (2019a) is of </w:t>
      </w:r>
      <w:r w:rsidR="002C1F34">
        <w:rPr>
          <w:rFonts w:eastAsia="Times New Roman" w:cs="Times New Roman"/>
          <w:color w:val="000000"/>
          <w:szCs w:val="24"/>
          <w:lang w:eastAsia="en-AU"/>
        </w:rPr>
        <w:t xml:space="preserve">a </w:t>
      </w:r>
      <w:r w:rsidRPr="00C8380A">
        <w:rPr>
          <w:rFonts w:eastAsia="Times New Roman" w:cs="Times New Roman"/>
          <w:color w:val="000000"/>
          <w:szCs w:val="24"/>
          <w:lang w:eastAsia="en-AU"/>
        </w:rPr>
        <w:t xml:space="preserve">similar opinion that the faculty are not engaged in innovating their styles of educating to match that of </w:t>
      </w:r>
      <w:r w:rsidR="006E1C35" w:rsidRPr="00C8380A">
        <w:rPr>
          <w:rFonts w:eastAsia="Times New Roman" w:cs="Times New Roman"/>
          <w:color w:val="000000"/>
          <w:szCs w:val="24"/>
          <w:lang w:eastAsia="en-AU"/>
        </w:rPr>
        <w:t>best-known</w:t>
      </w:r>
      <w:r w:rsidRPr="00C8380A">
        <w:rPr>
          <w:rFonts w:eastAsia="Times New Roman" w:cs="Times New Roman"/>
          <w:color w:val="000000"/>
          <w:szCs w:val="24"/>
          <w:lang w:eastAsia="en-AU"/>
        </w:rPr>
        <w:t xml:space="preserve"> practise due to both workload and familiarity with what modern practise can be. </w:t>
      </w:r>
      <w:r w:rsidR="002C1F34">
        <w:rPr>
          <w:rFonts w:eastAsia="Times New Roman" w:cs="Times New Roman"/>
          <w:color w:val="000000"/>
          <w:szCs w:val="24"/>
          <w:lang w:eastAsia="en-AU"/>
        </w:rPr>
        <w:t xml:space="preserve">Dr. </w:t>
      </w:r>
      <w:proofErr w:type="spellStart"/>
      <w:r w:rsidR="002C1F34">
        <w:rPr>
          <w:rFonts w:eastAsia="Times New Roman" w:cs="Times New Roman"/>
          <w:color w:val="000000"/>
          <w:szCs w:val="24"/>
          <w:lang w:eastAsia="en-AU"/>
        </w:rPr>
        <w:t>Rixon</w:t>
      </w:r>
      <w:proofErr w:type="spellEnd"/>
      <w:r w:rsidR="002C1F34">
        <w:rPr>
          <w:rFonts w:eastAsia="Times New Roman" w:cs="Times New Roman"/>
          <w:color w:val="000000"/>
          <w:szCs w:val="24"/>
          <w:lang w:eastAsia="en-AU"/>
        </w:rPr>
        <w:t xml:space="preserve"> mentioned</w:t>
      </w:r>
      <w:r w:rsidRPr="00C8380A">
        <w:rPr>
          <w:rFonts w:eastAsia="Times New Roman" w:cs="Times New Roman"/>
          <w:color w:val="000000"/>
          <w:szCs w:val="24"/>
          <w:lang w:eastAsia="en-AU"/>
        </w:rPr>
        <w:t xml:space="preserve"> that the training and support system supplied by his institution for educators to learn new methods is over an informal lunch that happens only intermittently. </w:t>
      </w:r>
    </w:p>
    <w:p w14:paraId="5D8F8FE0" w14:textId="0011AFD0" w:rsidR="006E1C35" w:rsidRPr="00C8380A" w:rsidRDefault="006E1C35" w:rsidP="009E2B24">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The final aspect of the conversation with the participants was regarding how well they were able to bring about new ideas into their teaching environment. Both men explained that there are guidelines developed by their institutions in which all the aspects of their course to fit. This means that the content to cover, the skills to develop, and in some ways</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the nature of the assessments are being set to meet university guidelines. While Dr </w:t>
      </w:r>
      <w:proofErr w:type="spellStart"/>
      <w:r w:rsidRPr="00C8380A">
        <w:rPr>
          <w:rFonts w:eastAsia="Times New Roman" w:cs="Times New Roman"/>
          <w:color w:val="000000"/>
          <w:szCs w:val="24"/>
          <w:lang w:eastAsia="en-AU"/>
        </w:rPr>
        <w:t>Rixon</w:t>
      </w:r>
      <w:proofErr w:type="spellEnd"/>
      <w:r w:rsidRPr="00C8380A">
        <w:rPr>
          <w:rFonts w:eastAsia="Times New Roman" w:cs="Times New Roman"/>
          <w:color w:val="000000"/>
          <w:szCs w:val="24"/>
          <w:lang w:eastAsia="en-AU"/>
        </w:rPr>
        <w:t xml:space="preserve"> (2019) did mention that there is some leeway by which he can decide how to proceed with engaging his class</w:t>
      </w:r>
      <w:r w:rsidR="001825E7" w:rsidRPr="00C8380A">
        <w:rPr>
          <w:rFonts w:eastAsia="Times New Roman" w:cs="Times New Roman"/>
          <w:color w:val="000000"/>
          <w:szCs w:val="24"/>
          <w:lang w:eastAsia="en-AU"/>
        </w:rPr>
        <w:t xml:space="preserve">, he does still have to answer to university bureaucracy and justify his decision so that the course can continue to be accredited. </w:t>
      </w:r>
    </w:p>
    <w:p w14:paraId="46C03C9D" w14:textId="62A6E2FC" w:rsidR="00384E72" w:rsidRPr="00C8380A" w:rsidRDefault="001825E7" w:rsidP="001825E7">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Both Dr </w:t>
      </w:r>
      <w:proofErr w:type="spellStart"/>
      <w:r w:rsidRPr="00C8380A">
        <w:rPr>
          <w:rFonts w:eastAsia="Times New Roman" w:cs="Times New Roman"/>
          <w:color w:val="000000"/>
          <w:szCs w:val="24"/>
          <w:lang w:eastAsia="en-AU"/>
        </w:rPr>
        <w:t>Rixon</w:t>
      </w:r>
      <w:proofErr w:type="spellEnd"/>
      <w:r w:rsidRPr="00C8380A">
        <w:rPr>
          <w:rFonts w:eastAsia="Times New Roman" w:cs="Times New Roman"/>
          <w:color w:val="000000"/>
          <w:szCs w:val="24"/>
          <w:lang w:eastAsia="en-AU"/>
        </w:rPr>
        <w:t xml:space="preserve"> and Dr </w:t>
      </w:r>
      <w:proofErr w:type="spellStart"/>
      <w:r w:rsidRPr="00C8380A">
        <w:rPr>
          <w:rFonts w:eastAsia="Times New Roman" w:cs="Times New Roman"/>
          <w:color w:val="000000"/>
          <w:szCs w:val="24"/>
          <w:lang w:eastAsia="en-AU"/>
        </w:rPr>
        <w:t>Sukunesan</w:t>
      </w:r>
      <w:proofErr w:type="spellEnd"/>
      <w:r w:rsidRPr="00C8380A">
        <w:rPr>
          <w:rFonts w:eastAsia="Times New Roman" w:cs="Times New Roman"/>
          <w:color w:val="000000"/>
          <w:szCs w:val="24"/>
          <w:lang w:eastAsia="en-AU"/>
        </w:rPr>
        <w:t xml:space="preserve"> have positive feelings about the direction that the educational system is moving towards regarding understanding the most pertinent skills and </w:t>
      </w:r>
      <w:r w:rsidRPr="00C8380A">
        <w:rPr>
          <w:rFonts w:eastAsia="Times New Roman" w:cs="Times New Roman"/>
          <w:color w:val="000000"/>
          <w:szCs w:val="24"/>
          <w:lang w:eastAsia="en-AU"/>
        </w:rPr>
        <w:lastRenderedPageBreak/>
        <w:t xml:space="preserve">content </w:t>
      </w:r>
      <w:r w:rsidR="002C1F34">
        <w:rPr>
          <w:rFonts w:eastAsia="Times New Roman" w:cs="Times New Roman"/>
          <w:color w:val="000000"/>
          <w:szCs w:val="24"/>
          <w:lang w:eastAsia="en-AU"/>
        </w:rPr>
        <w:t>to expose to today’s youth</w:t>
      </w:r>
      <w:r w:rsidRPr="00C8380A">
        <w:rPr>
          <w:rFonts w:eastAsia="Times New Roman" w:cs="Times New Roman"/>
          <w:color w:val="000000"/>
          <w:szCs w:val="24"/>
          <w:lang w:eastAsia="en-AU"/>
        </w:rPr>
        <w:t xml:space="preserve">. In addition to the development and implementation of innovative techniques within the classroom, they are also developing knowledge and technology outside of it. Dr </w:t>
      </w:r>
      <w:proofErr w:type="spellStart"/>
      <w:r w:rsidRPr="00C8380A">
        <w:rPr>
          <w:rFonts w:eastAsia="Times New Roman" w:cs="Times New Roman"/>
          <w:color w:val="000000"/>
          <w:szCs w:val="24"/>
          <w:lang w:eastAsia="en-AU"/>
        </w:rPr>
        <w:t>Rixon</w:t>
      </w:r>
      <w:proofErr w:type="spellEnd"/>
      <w:r w:rsidRPr="00C8380A">
        <w:rPr>
          <w:rFonts w:eastAsia="Times New Roman" w:cs="Times New Roman"/>
          <w:color w:val="000000"/>
          <w:szCs w:val="24"/>
          <w:lang w:eastAsia="en-AU"/>
        </w:rPr>
        <w:t xml:space="preserve"> is currently undertaking a study regarding the concept of ‘belonging’ and how building a student’s sense of connection with the course they are undertaking can increase their engagement and satisfaction with the course </w:t>
      </w:r>
      <w:r w:rsidR="002C1F34">
        <w:rPr>
          <w:rFonts w:eastAsia="Times New Roman" w:cs="Times New Roman"/>
          <w:color w:val="000000"/>
          <w:szCs w:val="24"/>
          <w:lang w:eastAsia="en-AU"/>
        </w:rPr>
        <w:t>in which they are enrolled</w:t>
      </w:r>
      <w:r w:rsidRPr="00C8380A">
        <w:rPr>
          <w:rFonts w:eastAsia="Times New Roman" w:cs="Times New Roman"/>
          <w:color w:val="000000"/>
          <w:szCs w:val="24"/>
          <w:lang w:eastAsia="en-AU"/>
        </w:rPr>
        <w:t xml:space="preserve">. Dr </w:t>
      </w:r>
      <w:proofErr w:type="spellStart"/>
      <w:r w:rsidRPr="00C8380A">
        <w:rPr>
          <w:rFonts w:eastAsia="Times New Roman" w:cs="Times New Roman"/>
          <w:color w:val="000000"/>
          <w:szCs w:val="24"/>
          <w:lang w:eastAsia="en-AU"/>
        </w:rPr>
        <w:t>Sukunesan</w:t>
      </w:r>
      <w:proofErr w:type="spellEnd"/>
      <w:r w:rsidRPr="00C8380A">
        <w:rPr>
          <w:rFonts w:eastAsia="Times New Roman" w:cs="Times New Roman"/>
          <w:color w:val="000000"/>
          <w:szCs w:val="24"/>
          <w:lang w:eastAsia="en-AU"/>
        </w:rPr>
        <w:t xml:space="preserve"> is refining the technology he utilises in the lecture environment via a start-up and collaboration with industry actors</w:t>
      </w:r>
      <w:r w:rsidR="00A87DFD" w:rsidRPr="00C8380A">
        <w:rPr>
          <w:rFonts w:eastAsia="Times New Roman" w:cs="Times New Roman"/>
          <w:color w:val="000000"/>
          <w:szCs w:val="24"/>
          <w:lang w:eastAsia="en-AU"/>
        </w:rPr>
        <w:t xml:space="preserve"> (</w:t>
      </w:r>
      <w:proofErr w:type="spellStart"/>
      <w:r w:rsidR="00A87DFD" w:rsidRPr="00C8380A">
        <w:rPr>
          <w:rFonts w:eastAsia="Times New Roman" w:cs="Times New Roman"/>
          <w:color w:val="000000"/>
          <w:szCs w:val="24"/>
          <w:lang w:eastAsia="en-AU"/>
        </w:rPr>
        <w:t>Rixon</w:t>
      </w:r>
      <w:proofErr w:type="spellEnd"/>
      <w:r w:rsidR="00A87DFD" w:rsidRPr="00C8380A">
        <w:rPr>
          <w:rFonts w:eastAsia="Times New Roman" w:cs="Times New Roman"/>
          <w:color w:val="000000"/>
          <w:szCs w:val="24"/>
          <w:lang w:eastAsia="en-AU"/>
        </w:rPr>
        <w:t xml:space="preserve">, 2019a; </w:t>
      </w:r>
      <w:proofErr w:type="spellStart"/>
      <w:r w:rsidR="00A87DFD" w:rsidRPr="00C8380A">
        <w:rPr>
          <w:rFonts w:eastAsia="Times New Roman" w:cs="Times New Roman"/>
          <w:color w:val="000000"/>
          <w:szCs w:val="24"/>
          <w:lang w:eastAsia="en-AU"/>
        </w:rPr>
        <w:t>Sukunesan</w:t>
      </w:r>
      <w:proofErr w:type="spellEnd"/>
      <w:r w:rsidR="00A87DFD" w:rsidRPr="00C8380A">
        <w:rPr>
          <w:rFonts w:eastAsia="Times New Roman" w:cs="Times New Roman"/>
          <w:color w:val="000000"/>
          <w:szCs w:val="24"/>
          <w:lang w:eastAsia="en-AU"/>
        </w:rPr>
        <w:t>, 2019)</w:t>
      </w:r>
      <w:r w:rsidRPr="00C8380A">
        <w:rPr>
          <w:rFonts w:eastAsia="Times New Roman" w:cs="Times New Roman"/>
          <w:color w:val="000000"/>
          <w:szCs w:val="24"/>
          <w:lang w:eastAsia="en-AU"/>
        </w:rPr>
        <w:t xml:space="preserve">. </w:t>
      </w:r>
    </w:p>
    <w:p w14:paraId="05AEF9A5" w14:textId="32A64123" w:rsidR="001825E7" w:rsidRPr="00C8380A" w:rsidRDefault="001825E7" w:rsidP="001825E7">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 xml:space="preserve">From the data provided the interview subjects, it appears that in the university system within Australia that </w:t>
      </w:r>
      <w:r w:rsidR="002C1F34">
        <w:rPr>
          <w:rFonts w:eastAsia="Times New Roman" w:cs="Times New Roman"/>
          <w:color w:val="000000"/>
          <w:szCs w:val="24"/>
          <w:lang w:eastAsia="en-AU"/>
        </w:rPr>
        <w:t>innovation can</w:t>
      </w:r>
      <w:r w:rsidR="00A87DFD" w:rsidRPr="00C8380A">
        <w:rPr>
          <w:rFonts w:eastAsia="Times New Roman" w:cs="Times New Roman"/>
          <w:color w:val="000000"/>
          <w:szCs w:val="24"/>
          <w:lang w:eastAsia="en-AU"/>
        </w:rPr>
        <w:t xml:space="preserve"> occur. With his knowledge of social media, especially Twitter, Dr </w:t>
      </w:r>
      <w:proofErr w:type="spellStart"/>
      <w:r w:rsidR="00A87DFD" w:rsidRPr="00C8380A">
        <w:rPr>
          <w:rFonts w:eastAsia="Times New Roman" w:cs="Times New Roman"/>
          <w:color w:val="000000"/>
          <w:szCs w:val="24"/>
          <w:lang w:eastAsia="en-AU"/>
        </w:rPr>
        <w:t>Sukunesan</w:t>
      </w:r>
      <w:proofErr w:type="spellEnd"/>
      <w:r w:rsidR="00A87DFD" w:rsidRPr="00C8380A">
        <w:rPr>
          <w:rFonts w:eastAsia="Times New Roman" w:cs="Times New Roman"/>
          <w:color w:val="000000"/>
          <w:szCs w:val="24"/>
          <w:lang w:eastAsia="en-AU"/>
        </w:rPr>
        <w:t xml:space="preserve"> </w:t>
      </w:r>
      <w:r w:rsidR="002C1F34">
        <w:rPr>
          <w:rFonts w:eastAsia="Times New Roman" w:cs="Times New Roman"/>
          <w:color w:val="000000"/>
          <w:szCs w:val="24"/>
          <w:lang w:eastAsia="en-AU"/>
        </w:rPr>
        <w:t>can</w:t>
      </w:r>
      <w:r w:rsidR="00A87DFD" w:rsidRPr="00C8380A">
        <w:rPr>
          <w:rFonts w:eastAsia="Times New Roman" w:cs="Times New Roman"/>
          <w:color w:val="000000"/>
          <w:szCs w:val="24"/>
          <w:lang w:eastAsia="en-AU"/>
        </w:rPr>
        <w:t xml:space="preserve"> bring in trends and understandings from outside the purely academic field and use it to both engage with his students and encouragement amongst them. Dr </w:t>
      </w:r>
      <w:proofErr w:type="spellStart"/>
      <w:r w:rsidR="00A87DFD" w:rsidRPr="00C8380A">
        <w:rPr>
          <w:rFonts w:eastAsia="Times New Roman" w:cs="Times New Roman"/>
          <w:color w:val="000000"/>
          <w:szCs w:val="24"/>
          <w:lang w:eastAsia="en-AU"/>
        </w:rPr>
        <w:t>Rixon</w:t>
      </w:r>
      <w:proofErr w:type="spellEnd"/>
      <w:r w:rsidR="002C1F34">
        <w:rPr>
          <w:rFonts w:eastAsia="Times New Roman" w:cs="Times New Roman"/>
          <w:color w:val="000000"/>
          <w:szCs w:val="24"/>
          <w:lang w:eastAsia="en-AU"/>
        </w:rPr>
        <w:t>,</w:t>
      </w:r>
      <w:r w:rsidR="00A87DFD" w:rsidRPr="00C8380A">
        <w:rPr>
          <w:rFonts w:eastAsia="Times New Roman" w:cs="Times New Roman"/>
          <w:color w:val="000000"/>
          <w:szCs w:val="24"/>
          <w:lang w:eastAsia="en-AU"/>
        </w:rPr>
        <w:t xml:space="preserve"> on the other hand</w:t>
      </w:r>
      <w:r w:rsidR="002C1F34">
        <w:rPr>
          <w:rFonts w:eastAsia="Times New Roman" w:cs="Times New Roman"/>
          <w:color w:val="000000"/>
          <w:szCs w:val="24"/>
          <w:lang w:eastAsia="en-AU"/>
        </w:rPr>
        <w:t>,</w:t>
      </w:r>
      <w:r w:rsidR="00A87DFD" w:rsidRPr="00C8380A">
        <w:rPr>
          <w:rFonts w:eastAsia="Times New Roman" w:cs="Times New Roman"/>
          <w:color w:val="000000"/>
          <w:szCs w:val="24"/>
          <w:lang w:eastAsia="en-AU"/>
        </w:rPr>
        <w:t xml:space="preserve"> is implementing knowledge and skills gained as a corporate team consultant to foster a knowledge building environment within his classroom. These are excellent examples of innovation, but both are tied to individuals who are going beyond the norm of what the tertiary environment seems to require of them. The organisational system in which they operate does not seem to push for this form of innovation to be </w:t>
      </w:r>
      <w:r w:rsidR="002C1F34">
        <w:rPr>
          <w:rFonts w:eastAsia="Times New Roman" w:cs="Times New Roman"/>
          <w:color w:val="000000"/>
          <w:szCs w:val="24"/>
          <w:lang w:eastAsia="en-AU"/>
        </w:rPr>
        <w:t xml:space="preserve">the </w:t>
      </w:r>
      <w:r w:rsidR="00A87DFD" w:rsidRPr="00C8380A">
        <w:rPr>
          <w:rFonts w:eastAsia="Times New Roman" w:cs="Times New Roman"/>
          <w:color w:val="000000"/>
          <w:szCs w:val="24"/>
          <w:lang w:eastAsia="en-AU"/>
        </w:rPr>
        <w:t xml:space="preserve">norm so that the modern needed skills are learnt in the best fashion. It is a possibility that what is required is more documentation about the on the ground actions of educators like those </w:t>
      </w:r>
      <w:r w:rsidR="00B7305F" w:rsidRPr="00C8380A">
        <w:rPr>
          <w:rFonts w:eastAsia="Times New Roman" w:cs="Times New Roman"/>
          <w:color w:val="000000"/>
          <w:szCs w:val="24"/>
          <w:lang w:eastAsia="en-AU"/>
        </w:rPr>
        <w:t xml:space="preserve">who kindly sat down to interact with this research paper. </w:t>
      </w:r>
    </w:p>
    <w:p w14:paraId="57E23411" w14:textId="75597384" w:rsidR="00384E72" w:rsidRPr="00C8380A" w:rsidRDefault="00384E72" w:rsidP="00FF5090">
      <w:pPr>
        <w:pStyle w:val="Heading1"/>
        <w:rPr>
          <w:rFonts w:eastAsia="Times New Roman"/>
          <w:lang w:eastAsia="en-AU"/>
        </w:rPr>
      </w:pPr>
      <w:bookmarkStart w:id="5" w:name="_Toc9106356"/>
      <w:r w:rsidRPr="00C8380A">
        <w:rPr>
          <w:rFonts w:eastAsia="Times New Roman"/>
          <w:lang w:eastAsia="en-AU"/>
        </w:rPr>
        <w:t>Conclusion</w:t>
      </w:r>
      <w:r w:rsidR="00B7305F" w:rsidRPr="00C8380A">
        <w:rPr>
          <w:rFonts w:eastAsia="Times New Roman"/>
          <w:lang w:eastAsia="en-AU"/>
        </w:rPr>
        <w:t>s</w:t>
      </w:r>
      <w:bookmarkEnd w:id="5"/>
    </w:p>
    <w:p w14:paraId="0712DE42" w14:textId="34E27498" w:rsidR="00384E72" w:rsidRPr="00C8380A" w:rsidRDefault="00B7305F" w:rsidP="00B7305F">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tab/>
        <w:t>It is safe to say that the nature of the world is constantly shifting and changing. How society adapts to those changes can</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in many ways</w:t>
      </w:r>
      <w:r w:rsidR="002C1F34">
        <w:rPr>
          <w:rFonts w:eastAsia="Times New Roman" w:cs="Times New Roman"/>
          <w:color w:val="000000"/>
          <w:szCs w:val="24"/>
          <w:lang w:eastAsia="en-AU"/>
        </w:rPr>
        <w:t>,</w:t>
      </w:r>
      <w:r w:rsidRPr="00C8380A">
        <w:rPr>
          <w:rFonts w:eastAsia="Times New Roman" w:cs="Times New Roman"/>
          <w:color w:val="000000"/>
          <w:szCs w:val="24"/>
          <w:lang w:eastAsia="en-AU"/>
        </w:rPr>
        <w:t xml:space="preserve"> mark a society to succeed in the new world or be overtaken. If society is looking for tomorrow and getting ready to match the challenges it presents, it is essential that a clear focus is made on preparing youth for those challenges. This paper has endeavoured to briefly explore some of the </w:t>
      </w:r>
      <w:r w:rsidR="009D7D1F" w:rsidRPr="00C8380A">
        <w:rPr>
          <w:rFonts w:eastAsia="Times New Roman" w:cs="Times New Roman"/>
          <w:color w:val="000000"/>
          <w:szCs w:val="24"/>
          <w:lang w:eastAsia="en-AU"/>
        </w:rPr>
        <w:t>way’s</w:t>
      </w:r>
      <w:r w:rsidRPr="00C8380A">
        <w:rPr>
          <w:rFonts w:eastAsia="Times New Roman" w:cs="Times New Roman"/>
          <w:color w:val="000000"/>
          <w:szCs w:val="24"/>
          <w:lang w:eastAsia="en-AU"/>
        </w:rPr>
        <w:t xml:space="preserve"> society is figuring out how best to train the workers of tomorrow for the world it is currently building. It’s clear to say that academic </w:t>
      </w:r>
      <w:r w:rsidRPr="00C8380A">
        <w:rPr>
          <w:rFonts w:eastAsia="Times New Roman" w:cs="Times New Roman"/>
          <w:color w:val="000000"/>
          <w:szCs w:val="24"/>
          <w:lang w:eastAsia="en-AU"/>
        </w:rPr>
        <w:lastRenderedPageBreak/>
        <w:t>and industry have recogni</w:t>
      </w:r>
      <w:r w:rsidR="002C1F34">
        <w:rPr>
          <w:rFonts w:eastAsia="Times New Roman" w:cs="Times New Roman"/>
          <w:color w:val="000000"/>
          <w:szCs w:val="24"/>
          <w:lang w:eastAsia="en-AU"/>
        </w:rPr>
        <w:t>s</w:t>
      </w:r>
      <w:r w:rsidRPr="00C8380A">
        <w:rPr>
          <w:rFonts w:eastAsia="Times New Roman" w:cs="Times New Roman"/>
          <w:color w:val="000000"/>
          <w:szCs w:val="24"/>
          <w:lang w:eastAsia="en-AU"/>
        </w:rPr>
        <w:t xml:space="preserve">ed what the challenges </w:t>
      </w:r>
      <w:r w:rsidR="00287400" w:rsidRPr="00C8380A">
        <w:rPr>
          <w:rFonts w:eastAsia="Times New Roman" w:cs="Times New Roman"/>
          <w:color w:val="000000"/>
          <w:szCs w:val="24"/>
          <w:lang w:eastAsia="en-AU"/>
        </w:rPr>
        <w:t xml:space="preserve">will be and have begun exploring </w:t>
      </w:r>
      <w:r w:rsidR="002C1F34">
        <w:rPr>
          <w:rFonts w:eastAsia="Times New Roman" w:cs="Times New Roman"/>
          <w:color w:val="000000"/>
          <w:szCs w:val="24"/>
          <w:lang w:eastAsia="en-AU"/>
        </w:rPr>
        <w:t>how</w:t>
      </w:r>
      <w:r w:rsidR="00287400" w:rsidRPr="00C8380A">
        <w:rPr>
          <w:rFonts w:eastAsia="Times New Roman" w:cs="Times New Roman"/>
          <w:color w:val="000000"/>
          <w:szCs w:val="24"/>
          <w:lang w:eastAsia="en-AU"/>
        </w:rPr>
        <w:t xml:space="preserve"> those innovations in education can be applied. This is not to say</w:t>
      </w:r>
      <w:r w:rsidR="002C1F34">
        <w:rPr>
          <w:rFonts w:eastAsia="Times New Roman" w:cs="Times New Roman"/>
          <w:color w:val="000000"/>
          <w:szCs w:val="24"/>
          <w:lang w:eastAsia="en-AU"/>
        </w:rPr>
        <w:t>,</w:t>
      </w:r>
      <w:r w:rsidR="00287400" w:rsidRPr="00C8380A">
        <w:rPr>
          <w:rFonts w:eastAsia="Times New Roman" w:cs="Times New Roman"/>
          <w:color w:val="000000"/>
          <w:szCs w:val="24"/>
          <w:lang w:eastAsia="en-AU"/>
        </w:rPr>
        <w:t xml:space="preserve"> however</w:t>
      </w:r>
      <w:r w:rsidR="002C1F34">
        <w:rPr>
          <w:rFonts w:eastAsia="Times New Roman" w:cs="Times New Roman"/>
          <w:color w:val="000000"/>
          <w:szCs w:val="24"/>
          <w:lang w:eastAsia="en-AU"/>
        </w:rPr>
        <w:t>,</w:t>
      </w:r>
      <w:r w:rsidR="00287400" w:rsidRPr="00C8380A">
        <w:rPr>
          <w:rFonts w:eastAsia="Times New Roman" w:cs="Times New Roman"/>
          <w:color w:val="000000"/>
          <w:szCs w:val="24"/>
          <w:lang w:eastAsia="en-AU"/>
        </w:rPr>
        <w:t xml:space="preserve"> that these innovative techniques are the norm through the whole educational system. To understand why, interviews were conducted with educators to gain their perspectives on the need for these innovations, what they’re doing in their practi</w:t>
      </w:r>
      <w:r w:rsidR="002C1F34">
        <w:rPr>
          <w:rFonts w:eastAsia="Times New Roman" w:cs="Times New Roman"/>
          <w:color w:val="000000"/>
          <w:szCs w:val="24"/>
          <w:lang w:eastAsia="en-AU"/>
        </w:rPr>
        <w:t>c</w:t>
      </w:r>
      <w:r w:rsidR="00287400" w:rsidRPr="00C8380A">
        <w:rPr>
          <w:rFonts w:eastAsia="Times New Roman" w:cs="Times New Roman"/>
          <w:color w:val="000000"/>
          <w:szCs w:val="24"/>
          <w:lang w:eastAsia="en-AU"/>
        </w:rPr>
        <w:t>e, and their views on the direction of education in the future. Their experiences have aligned with the consensus seen in the literature, new skills are vital</w:t>
      </w:r>
      <w:r w:rsidR="002C1F34">
        <w:rPr>
          <w:rFonts w:eastAsia="Times New Roman" w:cs="Times New Roman"/>
          <w:color w:val="000000"/>
          <w:szCs w:val="24"/>
          <w:lang w:eastAsia="en-AU"/>
        </w:rPr>
        <w:t>,</w:t>
      </w:r>
      <w:r w:rsidR="00287400" w:rsidRPr="00C8380A">
        <w:rPr>
          <w:rFonts w:eastAsia="Times New Roman" w:cs="Times New Roman"/>
          <w:color w:val="000000"/>
          <w:szCs w:val="24"/>
          <w:lang w:eastAsia="en-AU"/>
        </w:rPr>
        <w:t xml:space="preserve"> and a shift to focusing on their development is possible and beneficial students. However, to the perspective</w:t>
      </w:r>
      <w:r w:rsidR="002C1F34">
        <w:rPr>
          <w:rFonts w:eastAsia="Times New Roman" w:cs="Times New Roman"/>
          <w:color w:val="000000"/>
          <w:szCs w:val="24"/>
          <w:lang w:eastAsia="en-AU"/>
        </w:rPr>
        <w:t xml:space="preserve"> of</w:t>
      </w:r>
      <w:r w:rsidR="00287400" w:rsidRPr="00C8380A">
        <w:rPr>
          <w:rFonts w:eastAsia="Times New Roman" w:cs="Times New Roman"/>
          <w:color w:val="000000"/>
          <w:szCs w:val="24"/>
          <w:lang w:eastAsia="en-AU"/>
        </w:rPr>
        <w:t xml:space="preserve"> </w:t>
      </w:r>
      <w:r w:rsidR="002C1F34">
        <w:rPr>
          <w:rFonts w:eastAsia="Times New Roman" w:cs="Times New Roman"/>
          <w:color w:val="000000"/>
          <w:szCs w:val="24"/>
          <w:lang w:eastAsia="en-AU"/>
        </w:rPr>
        <w:t xml:space="preserve">the </w:t>
      </w:r>
      <w:r w:rsidR="00287400" w:rsidRPr="00C8380A">
        <w:rPr>
          <w:rFonts w:eastAsia="Times New Roman" w:cs="Times New Roman"/>
          <w:color w:val="000000"/>
          <w:szCs w:val="24"/>
          <w:lang w:eastAsia="en-AU"/>
        </w:rPr>
        <w:t>interview subjects</w:t>
      </w:r>
      <w:r w:rsidR="002C1F34">
        <w:rPr>
          <w:rFonts w:eastAsia="Times New Roman" w:cs="Times New Roman"/>
          <w:color w:val="000000"/>
          <w:szCs w:val="24"/>
          <w:lang w:eastAsia="en-AU"/>
        </w:rPr>
        <w:t xml:space="preserve"> of this paper</w:t>
      </w:r>
      <w:r w:rsidR="00287400" w:rsidRPr="00C8380A">
        <w:rPr>
          <w:rFonts w:eastAsia="Times New Roman" w:cs="Times New Roman"/>
          <w:color w:val="000000"/>
          <w:szCs w:val="24"/>
          <w:lang w:eastAsia="en-AU"/>
        </w:rPr>
        <w:t>, there are institutional barriers preventing these innovations from becoming more commonplace. A lack of support and training for educators to build knowledge generating spaces is preventing these teachers from moving beyond their cultural perceptions of what it means to be an educator. Combined with inelastic institutional policies, innovation in the tertiary sector has a possibility of falling behind the pace of change with society. By identification, issues can be solved through further effort and it</w:t>
      </w:r>
      <w:r w:rsidR="002C1F34">
        <w:rPr>
          <w:rFonts w:eastAsia="Times New Roman" w:cs="Times New Roman"/>
          <w:color w:val="000000"/>
          <w:szCs w:val="24"/>
          <w:lang w:eastAsia="en-AU"/>
        </w:rPr>
        <w:t>, therefore,</w:t>
      </w:r>
      <w:r w:rsidR="00287400" w:rsidRPr="00C8380A">
        <w:rPr>
          <w:rFonts w:eastAsia="Times New Roman" w:cs="Times New Roman"/>
          <w:color w:val="000000"/>
          <w:szCs w:val="24"/>
          <w:lang w:eastAsia="en-AU"/>
        </w:rPr>
        <w:t xml:space="preserve"> the advice of this paper to further explore these barriers to innovation as lessons and understanding of what hold ideas back going beyond just the sector in question for this research, but to every avenue of knowledge that society desires to explore. </w:t>
      </w:r>
    </w:p>
    <w:p w14:paraId="74D03931" w14:textId="77777777" w:rsidR="00F57CCE" w:rsidRPr="00C8380A" w:rsidRDefault="00F57CCE" w:rsidP="00B7305F">
      <w:pPr>
        <w:spacing w:after="0" w:line="480" w:lineRule="auto"/>
        <w:ind w:firstLine="720"/>
        <w:jc w:val="both"/>
        <w:rPr>
          <w:rFonts w:eastAsia="Times New Roman" w:cs="Times New Roman"/>
          <w:color w:val="000000"/>
          <w:szCs w:val="24"/>
          <w:lang w:eastAsia="en-AU"/>
        </w:rPr>
      </w:pPr>
      <w:r w:rsidRPr="00C8380A">
        <w:rPr>
          <w:rFonts w:eastAsia="Times New Roman" w:cs="Times New Roman"/>
          <w:color w:val="000000"/>
          <w:szCs w:val="24"/>
          <w:lang w:eastAsia="en-AU"/>
        </w:rPr>
        <w:br w:type="page"/>
      </w:r>
    </w:p>
    <w:p w14:paraId="79E52F70" w14:textId="732F0C2D" w:rsidR="00384E72" w:rsidRPr="00C8380A" w:rsidRDefault="00384E72" w:rsidP="00FF5090">
      <w:pPr>
        <w:pStyle w:val="Heading1"/>
        <w:rPr>
          <w:rFonts w:eastAsia="Times New Roman"/>
          <w:lang w:eastAsia="en-AU"/>
        </w:rPr>
      </w:pPr>
      <w:bookmarkStart w:id="6" w:name="_Toc9106357"/>
      <w:r w:rsidRPr="00C8380A">
        <w:rPr>
          <w:rFonts w:eastAsia="Times New Roman"/>
          <w:lang w:eastAsia="en-AU"/>
        </w:rPr>
        <w:lastRenderedPageBreak/>
        <w:t>Reference</w:t>
      </w:r>
      <w:r w:rsidR="00F57CCE" w:rsidRPr="00C8380A">
        <w:rPr>
          <w:rFonts w:eastAsia="Times New Roman"/>
          <w:lang w:eastAsia="en-AU"/>
        </w:rPr>
        <w:t>s</w:t>
      </w:r>
      <w:bookmarkEnd w:id="6"/>
    </w:p>
    <w:p w14:paraId="666F4039" w14:textId="77777777" w:rsidR="00523DA9" w:rsidRPr="00C8380A" w:rsidRDefault="00523DA9" w:rsidP="00C8380A">
      <w:pPr>
        <w:ind w:left="720" w:hanging="720"/>
      </w:pPr>
      <w:r w:rsidRPr="00C8380A">
        <w:t xml:space="preserve">Adamson, F., </w:t>
      </w:r>
      <w:proofErr w:type="gramStart"/>
      <w:r w:rsidRPr="00C8380A">
        <w:t>&amp;  Darling</w:t>
      </w:r>
      <w:proofErr w:type="gramEnd"/>
      <w:r w:rsidRPr="00C8380A">
        <w:t>-</w:t>
      </w:r>
      <w:proofErr w:type="spellStart"/>
      <w:r w:rsidRPr="00C8380A">
        <w:t>Hammon</w:t>
      </w:r>
      <w:proofErr w:type="spellEnd"/>
      <w:r w:rsidRPr="00C8380A">
        <w:t xml:space="preserve">, L. (2015). Policy pathways for twenty-first century skills. In P. Griffin et al. (eds.), </w:t>
      </w:r>
      <w:r w:rsidRPr="00C8380A">
        <w:rPr>
          <w:i/>
        </w:rPr>
        <w:t>Assessment and teaching of 21st century skills: Methods and approach</w:t>
      </w:r>
      <w:r w:rsidRPr="00C8380A">
        <w:t xml:space="preserve"> (pp.  293-310).</w:t>
      </w:r>
    </w:p>
    <w:p w14:paraId="54FFB268" w14:textId="77777777" w:rsidR="00523DA9" w:rsidRPr="00C8380A" w:rsidRDefault="00523DA9" w:rsidP="00C8380A">
      <w:pPr>
        <w:ind w:left="720" w:hanging="720"/>
      </w:pPr>
      <w:proofErr w:type="spellStart"/>
      <w:r w:rsidRPr="00C8380A">
        <w:t>Auter</w:t>
      </w:r>
      <w:proofErr w:type="spellEnd"/>
      <w:r w:rsidRPr="00C8380A">
        <w:t xml:space="preserve">, D. H., Levy, F., Murnane, R.J. (2003) The skill content of recent technological change: an empirical exploration. </w:t>
      </w:r>
      <w:r w:rsidRPr="00C8380A">
        <w:rPr>
          <w:i/>
        </w:rPr>
        <w:t>The Quarterly Journal of Economics, 118(4)</w:t>
      </w:r>
      <w:r w:rsidRPr="00C8380A">
        <w:t xml:space="preserve">, 1279-1333. </w:t>
      </w:r>
    </w:p>
    <w:p w14:paraId="706C289A" w14:textId="77777777" w:rsidR="00523DA9" w:rsidRPr="00C8380A" w:rsidRDefault="00523DA9" w:rsidP="00C8380A">
      <w:pPr>
        <w:ind w:left="720" w:hanging="720"/>
      </w:pPr>
      <w:r w:rsidRPr="00C8380A">
        <w:t xml:space="preserve">Bates, G.W., </w:t>
      </w:r>
      <w:proofErr w:type="spellStart"/>
      <w:r w:rsidRPr="00C8380A">
        <w:t>Rixon</w:t>
      </w:r>
      <w:proofErr w:type="spellEnd"/>
      <w:r w:rsidRPr="00C8380A">
        <w:t xml:space="preserve">, A., Carbone, A., &amp; Pilgrim, C. (2019). Beyond employability skills: Developing professional purpose. </w:t>
      </w:r>
      <w:r w:rsidRPr="00C8380A">
        <w:rPr>
          <w:i/>
        </w:rPr>
        <w:t>Journal of Teaching and Learning for Graduate Employability</w:t>
      </w:r>
      <w:r w:rsidRPr="00C8380A">
        <w:t>, 10(1), 7-26.</w:t>
      </w:r>
    </w:p>
    <w:p w14:paraId="005EA093" w14:textId="77777777" w:rsidR="00523DA9" w:rsidRPr="00C8380A" w:rsidRDefault="00523DA9" w:rsidP="00C8380A">
      <w:pPr>
        <w:ind w:left="720" w:hanging="720"/>
      </w:pPr>
      <w:r w:rsidRPr="00C8380A">
        <w:t xml:space="preserve">Bransford, J.D., &amp; Schwartz, D.L. (2009). It </w:t>
      </w:r>
      <w:proofErr w:type="gramStart"/>
      <w:r w:rsidRPr="00C8380A">
        <w:t>take</w:t>
      </w:r>
      <w:proofErr w:type="gramEnd"/>
      <w:r w:rsidRPr="00C8380A">
        <w:t xml:space="preserve"> expertise to make expertise: some thoughts about why and how and reflections on the themes in chapter 15-18. </w:t>
      </w:r>
      <w:proofErr w:type="gramStart"/>
      <w:r w:rsidRPr="00C8380A">
        <w:t>In  K.A.</w:t>
      </w:r>
      <w:proofErr w:type="gramEnd"/>
      <w:r w:rsidRPr="00C8380A">
        <w:t xml:space="preserve"> Ericsson (Eds.), </w:t>
      </w:r>
      <w:r w:rsidRPr="00C8380A">
        <w:rPr>
          <w:i/>
        </w:rPr>
        <w:t xml:space="preserve">Development of professional expertise: Toward measurement of expert performance and design of optimal learning environments </w:t>
      </w:r>
      <w:r w:rsidRPr="00C8380A">
        <w:t>(pp. 432-448)</w:t>
      </w:r>
    </w:p>
    <w:p w14:paraId="4942C7FF" w14:textId="77777777" w:rsidR="00523DA9" w:rsidRPr="00C8380A" w:rsidRDefault="00523DA9" w:rsidP="00C8380A">
      <w:pPr>
        <w:ind w:left="720" w:hanging="720"/>
      </w:pPr>
      <w:r w:rsidRPr="00C8380A">
        <w:t xml:space="preserve">Cappelli, P. (1999). Career jobs are dead. </w:t>
      </w:r>
      <w:r w:rsidRPr="00C8380A">
        <w:rPr>
          <w:i/>
        </w:rPr>
        <w:t>California Management Review, 41(1)</w:t>
      </w:r>
      <w:r w:rsidRPr="00C8380A">
        <w:t xml:space="preserve">, 146-167. </w:t>
      </w:r>
    </w:p>
    <w:p w14:paraId="21FF5C01" w14:textId="77777777" w:rsidR="00523DA9" w:rsidRPr="00C8380A" w:rsidRDefault="00523DA9" w:rsidP="00C8380A">
      <w:pPr>
        <w:ind w:left="720" w:hanging="720"/>
      </w:pPr>
      <w:r w:rsidRPr="00C8380A">
        <w:t xml:space="preserve">Care, E. (2018). Twenty-first century skills: From theory to action. In P. Griffin et al. (eds.), </w:t>
      </w:r>
      <w:r w:rsidRPr="00C8380A">
        <w:rPr>
          <w:i/>
        </w:rPr>
        <w:t xml:space="preserve">Assessment and teaching of 21st century skills: Research and Applications </w:t>
      </w:r>
      <w:r w:rsidRPr="00C8380A">
        <w:t>(pp. 3-20).</w:t>
      </w:r>
    </w:p>
    <w:p w14:paraId="5C795679" w14:textId="77777777" w:rsidR="00523DA9" w:rsidRPr="00C8380A" w:rsidRDefault="00523DA9" w:rsidP="00C8380A">
      <w:pPr>
        <w:ind w:left="720" w:hanging="720"/>
      </w:pPr>
      <w:r w:rsidRPr="00C8380A">
        <w:t xml:space="preserve">Care, E., Kim, H. (2018). Assessment of twenty-first century skills: The issue of authenticity. In P. Griffin et al. (eds.), </w:t>
      </w:r>
      <w:r w:rsidRPr="00C8380A">
        <w:rPr>
          <w:i/>
        </w:rPr>
        <w:t xml:space="preserve">Assessment and teaching of 21st century skills: Research and Applications </w:t>
      </w:r>
      <w:r w:rsidRPr="00C8380A">
        <w:t>(pp. 21-40).</w:t>
      </w:r>
    </w:p>
    <w:p w14:paraId="35F73E11" w14:textId="77777777" w:rsidR="00523DA9" w:rsidRPr="00C8380A" w:rsidRDefault="00523DA9" w:rsidP="00C8380A">
      <w:pPr>
        <w:ind w:left="720" w:hanging="720"/>
      </w:pPr>
      <w:r w:rsidRPr="00C8380A">
        <w:t xml:space="preserve">Freeman, S., Eddy, S.L., McDonough, M., Smith, M.K., </w:t>
      </w:r>
      <w:proofErr w:type="spellStart"/>
      <w:r w:rsidRPr="00C8380A">
        <w:t>Okoroafor</w:t>
      </w:r>
      <w:proofErr w:type="spellEnd"/>
      <w:r w:rsidRPr="00C8380A">
        <w:t xml:space="preserve">, N., </w:t>
      </w:r>
      <w:proofErr w:type="spellStart"/>
      <w:r w:rsidRPr="00C8380A">
        <w:t>Jordt</w:t>
      </w:r>
      <w:proofErr w:type="spellEnd"/>
      <w:r w:rsidRPr="00C8380A">
        <w:t xml:space="preserve">, H., &amp; </w:t>
      </w:r>
      <w:proofErr w:type="spellStart"/>
      <w:r w:rsidRPr="00C8380A">
        <w:t>Wenderoth</w:t>
      </w:r>
      <w:proofErr w:type="spellEnd"/>
      <w:r w:rsidRPr="00C8380A">
        <w:t xml:space="preserve">, M.P. (2014). Active learning increases student performance in science, engineering, and mathematics. </w:t>
      </w:r>
      <w:r w:rsidRPr="00C8380A">
        <w:rPr>
          <w:i/>
        </w:rPr>
        <w:t>PNAS, 111(23),</w:t>
      </w:r>
      <w:r w:rsidRPr="00C8380A">
        <w:t xml:space="preserve"> 8410-8415.</w:t>
      </w:r>
    </w:p>
    <w:p w14:paraId="6914F168" w14:textId="77777777" w:rsidR="00523DA9" w:rsidRPr="00C8380A" w:rsidRDefault="00523DA9" w:rsidP="00C8380A">
      <w:pPr>
        <w:ind w:left="720" w:hanging="720"/>
      </w:pPr>
      <w:proofErr w:type="spellStart"/>
      <w:r w:rsidRPr="00C8380A">
        <w:t>Graesser</w:t>
      </w:r>
      <w:proofErr w:type="spellEnd"/>
      <w:r w:rsidRPr="00C8380A">
        <w:t xml:space="preserve">, A.C., Foltz, P.W., Rosen, Y., Shaffer, D.W., Forsyth, C., &amp; Germany, M.L. (2018). Challenges of assessing collaborative problem solving. In P. Griffin et al. (eds.), </w:t>
      </w:r>
      <w:r w:rsidRPr="00C8380A">
        <w:rPr>
          <w:i/>
        </w:rPr>
        <w:t xml:space="preserve">Assessment and teaching of 21st century skills: Research and Applications </w:t>
      </w:r>
      <w:r w:rsidRPr="00C8380A">
        <w:t>(pp. 75-94).</w:t>
      </w:r>
    </w:p>
    <w:p w14:paraId="637E1DD0" w14:textId="77777777" w:rsidR="00523DA9" w:rsidRPr="00C8380A" w:rsidRDefault="00523DA9" w:rsidP="00C8380A">
      <w:pPr>
        <w:ind w:left="720" w:hanging="720"/>
      </w:pPr>
      <w:r w:rsidRPr="00C8380A">
        <w:t xml:space="preserve">Griffin, P. &amp; Care, E. (2015). The ATC21S Method. In P. Griffin et al. (eds.), </w:t>
      </w:r>
      <w:r w:rsidRPr="00C8380A">
        <w:rPr>
          <w:i/>
        </w:rPr>
        <w:t>Assessment and teaching of 21st century skills: Methods and approach</w:t>
      </w:r>
      <w:r w:rsidRPr="00C8380A">
        <w:t xml:space="preserve"> (pp.  3-36).</w:t>
      </w:r>
    </w:p>
    <w:p w14:paraId="784A9824" w14:textId="77777777" w:rsidR="00523DA9" w:rsidRPr="00C8380A" w:rsidRDefault="00523DA9" w:rsidP="00C8380A">
      <w:pPr>
        <w:ind w:left="720" w:hanging="720"/>
      </w:pPr>
      <w:r w:rsidRPr="00C8380A">
        <w:t xml:space="preserve">Griffin, P., Care, E., &amp; McGaw, B. (2012). The changing role of education and schools. In P. Griffin et al. (eds.), </w:t>
      </w:r>
      <w:r w:rsidRPr="00C8380A">
        <w:rPr>
          <w:i/>
        </w:rPr>
        <w:t>Assessment and teaching of 21st century Skills</w:t>
      </w:r>
      <w:r w:rsidRPr="00C8380A">
        <w:t xml:space="preserve"> (pp. 1-15).</w:t>
      </w:r>
    </w:p>
    <w:p w14:paraId="60BB8647" w14:textId="77777777" w:rsidR="00523DA9" w:rsidRPr="00C8380A" w:rsidRDefault="00523DA9" w:rsidP="00C8380A">
      <w:pPr>
        <w:ind w:left="720" w:hanging="720"/>
      </w:pPr>
      <w:proofErr w:type="spellStart"/>
      <w:r w:rsidRPr="00C8380A">
        <w:t>Guliders</w:t>
      </w:r>
      <w:proofErr w:type="spellEnd"/>
      <w:r w:rsidRPr="00C8380A">
        <w:t xml:space="preserve">, J.T.M., </w:t>
      </w:r>
      <w:proofErr w:type="spellStart"/>
      <w:r w:rsidRPr="00C8380A">
        <w:t>Bastiaens</w:t>
      </w:r>
      <w:proofErr w:type="spellEnd"/>
      <w:r w:rsidRPr="00C8380A">
        <w:t xml:space="preserve">, T.J., Kirschner, P.A. (2004). A five-dimensional framework for authentic assessment. </w:t>
      </w:r>
      <w:r w:rsidRPr="00C8380A">
        <w:rPr>
          <w:i/>
        </w:rPr>
        <w:t>Educational Technology Research and Development, 52(3)</w:t>
      </w:r>
      <w:r w:rsidRPr="00C8380A">
        <w:t>, 67-86.</w:t>
      </w:r>
    </w:p>
    <w:p w14:paraId="151B2C89" w14:textId="77777777" w:rsidR="00523DA9" w:rsidRPr="00C8380A" w:rsidRDefault="00523DA9" w:rsidP="00C8380A">
      <w:pPr>
        <w:ind w:left="720" w:hanging="720"/>
      </w:pPr>
      <w:proofErr w:type="spellStart"/>
      <w:r w:rsidRPr="00C8380A">
        <w:t>Hestenes</w:t>
      </w:r>
      <w:proofErr w:type="spellEnd"/>
      <w:r w:rsidRPr="00C8380A">
        <w:t xml:space="preserve">, D., Wells, M., &amp; </w:t>
      </w:r>
      <w:proofErr w:type="spellStart"/>
      <w:r w:rsidRPr="00C8380A">
        <w:t>Swackhamer</w:t>
      </w:r>
      <w:proofErr w:type="spellEnd"/>
      <w:r w:rsidRPr="00C8380A">
        <w:t xml:space="preserve">, G. (1992). Force concept inventory. </w:t>
      </w:r>
      <w:r w:rsidRPr="00C8380A">
        <w:rPr>
          <w:i/>
        </w:rPr>
        <w:t>The Physics Teacher, 30</w:t>
      </w:r>
      <w:r w:rsidRPr="00C8380A">
        <w:t>, 141-158</w:t>
      </w:r>
    </w:p>
    <w:p w14:paraId="4E8835F9" w14:textId="77777777" w:rsidR="00523DA9" w:rsidRPr="00C8380A" w:rsidRDefault="00523DA9" w:rsidP="00C8380A">
      <w:pPr>
        <w:ind w:left="720" w:hanging="720"/>
      </w:pPr>
      <w:r w:rsidRPr="00C8380A">
        <w:t xml:space="preserve">Mazur, E., &amp; Crouch, C. H. (2001). Peer instruction: ten years of experience and results. </w:t>
      </w:r>
      <w:r w:rsidRPr="00C8380A">
        <w:rPr>
          <w:i/>
        </w:rPr>
        <w:t xml:space="preserve">American Journal of Physics, 69, </w:t>
      </w:r>
      <w:r w:rsidRPr="00C8380A">
        <w:t xml:space="preserve">970-977. </w:t>
      </w:r>
    </w:p>
    <w:p w14:paraId="5A8B5FC1" w14:textId="77777777" w:rsidR="00523DA9" w:rsidRPr="00C8380A" w:rsidRDefault="00523DA9" w:rsidP="00C8380A">
      <w:pPr>
        <w:ind w:left="720" w:hanging="720"/>
      </w:pPr>
      <w:proofErr w:type="spellStart"/>
      <w:r w:rsidRPr="00C8380A">
        <w:t>Nilson</w:t>
      </w:r>
      <w:proofErr w:type="spellEnd"/>
      <w:r w:rsidRPr="00C8380A">
        <w:t xml:space="preserve">, L.B. (2010). </w:t>
      </w:r>
      <w:r w:rsidRPr="00C8380A">
        <w:rPr>
          <w:i/>
        </w:rPr>
        <w:t xml:space="preserve">Teaching at its best: a </w:t>
      </w:r>
      <w:proofErr w:type="gramStart"/>
      <w:r w:rsidRPr="00C8380A">
        <w:rPr>
          <w:i/>
        </w:rPr>
        <w:t>research based</w:t>
      </w:r>
      <w:proofErr w:type="gramEnd"/>
      <w:r w:rsidRPr="00C8380A">
        <w:rPr>
          <w:i/>
        </w:rPr>
        <w:t xml:space="preserve"> resource for college instructions </w:t>
      </w:r>
      <w:r w:rsidRPr="00C8380A">
        <w:t>(3</w:t>
      </w:r>
      <w:r w:rsidRPr="00C8380A">
        <w:rPr>
          <w:vertAlign w:val="superscript"/>
        </w:rPr>
        <w:t>rd</w:t>
      </w:r>
      <w:r w:rsidRPr="00C8380A">
        <w:t xml:space="preserve"> ed.). John Wiley &amp; Sons, California, USA.</w:t>
      </w:r>
    </w:p>
    <w:p w14:paraId="2FE56833" w14:textId="77777777" w:rsidR="00523DA9" w:rsidRPr="00C8380A" w:rsidRDefault="00523DA9" w:rsidP="00C8380A">
      <w:pPr>
        <w:ind w:left="720" w:hanging="720"/>
      </w:pPr>
      <w:proofErr w:type="spellStart"/>
      <w:r w:rsidRPr="00C8380A">
        <w:t>Rixon</w:t>
      </w:r>
      <w:proofErr w:type="spellEnd"/>
      <w:r w:rsidRPr="00C8380A">
        <w:t>, A. (2019a, May 6). Personal interview. Appendix C.</w:t>
      </w:r>
    </w:p>
    <w:p w14:paraId="0EDB3463" w14:textId="77777777" w:rsidR="00523DA9" w:rsidRPr="00C8380A" w:rsidRDefault="00523DA9" w:rsidP="00C8380A">
      <w:pPr>
        <w:ind w:left="720" w:hanging="720"/>
      </w:pPr>
      <w:proofErr w:type="spellStart"/>
      <w:r w:rsidRPr="00C8380A">
        <w:lastRenderedPageBreak/>
        <w:t>Saunder</w:t>
      </w:r>
      <w:proofErr w:type="spellEnd"/>
      <w:r w:rsidRPr="00C8380A">
        <w:t xml:space="preserve">, M., Lewis, P., Thornhill, A. (2016). </w:t>
      </w:r>
      <w:r w:rsidRPr="00C8380A">
        <w:rPr>
          <w:i/>
        </w:rPr>
        <w:t>Research Methods for Business Students</w:t>
      </w:r>
      <w:r w:rsidRPr="00C8380A">
        <w:t xml:space="preserve"> (7</w:t>
      </w:r>
      <w:r w:rsidRPr="00C8380A">
        <w:rPr>
          <w:vertAlign w:val="superscript"/>
        </w:rPr>
        <w:t>th</w:t>
      </w:r>
      <w:r w:rsidRPr="00C8380A">
        <w:t xml:space="preserve"> ed.). Pearson Education Limited, Essex, England. </w:t>
      </w:r>
    </w:p>
    <w:p w14:paraId="0A7574DD" w14:textId="77777777" w:rsidR="00523DA9" w:rsidRPr="00C8380A" w:rsidRDefault="00523DA9" w:rsidP="00C8380A">
      <w:pPr>
        <w:ind w:left="720" w:hanging="720"/>
      </w:pPr>
      <w:proofErr w:type="spellStart"/>
      <w:r w:rsidRPr="00C8380A">
        <w:t>Sukunesan</w:t>
      </w:r>
      <w:proofErr w:type="spellEnd"/>
      <w:r w:rsidRPr="00C8380A">
        <w:t>, S. (2019, May 6) Personal interview. Appendix B.</w:t>
      </w:r>
    </w:p>
    <w:p w14:paraId="5710ECEB" w14:textId="77777777" w:rsidR="00523DA9" w:rsidRPr="00C8380A" w:rsidRDefault="00523DA9" w:rsidP="00C8380A">
      <w:pPr>
        <w:ind w:left="720" w:hanging="720"/>
      </w:pPr>
      <w:r w:rsidRPr="00C8380A">
        <w:t xml:space="preserve">Trilling, B., &amp; Fadel, C. (2009). </w:t>
      </w:r>
      <w:r w:rsidRPr="00C8380A">
        <w:rPr>
          <w:i/>
        </w:rPr>
        <w:t>21</w:t>
      </w:r>
      <w:r w:rsidRPr="00C8380A">
        <w:rPr>
          <w:i/>
          <w:vertAlign w:val="superscript"/>
        </w:rPr>
        <w:t>st</w:t>
      </w:r>
      <w:r w:rsidRPr="00C8380A">
        <w:rPr>
          <w:i/>
        </w:rPr>
        <w:t xml:space="preserve"> century skills: learning for life in our times. </w:t>
      </w:r>
      <w:r w:rsidRPr="00C8380A">
        <w:t>John Wiley &amp; Sons, California, USA.</w:t>
      </w:r>
    </w:p>
    <w:p w14:paraId="3F5DDAC6" w14:textId="77777777" w:rsidR="00523DA9" w:rsidRDefault="00523DA9" w:rsidP="00523DA9">
      <w:pPr>
        <w:ind w:left="720" w:hanging="720"/>
      </w:pPr>
      <w:r>
        <w:t xml:space="preserve">United Nations. (2015). </w:t>
      </w:r>
      <w:r w:rsidRPr="00523DA9">
        <w:rPr>
          <w:i/>
        </w:rPr>
        <w:t>Transforming our world: The 2030 agenda for sustainable development</w:t>
      </w:r>
      <w:r>
        <w:t>. A/RES/701</w:t>
      </w:r>
    </w:p>
    <w:p w14:paraId="0E9EAAE2" w14:textId="77777777" w:rsidR="00523DA9" w:rsidRPr="00C8380A" w:rsidRDefault="00523DA9" w:rsidP="00C8380A">
      <w:pPr>
        <w:ind w:left="720" w:hanging="720"/>
      </w:pPr>
      <w:r w:rsidRPr="00C8380A">
        <w:t xml:space="preserve">Wagner, T., &amp; </w:t>
      </w:r>
      <w:proofErr w:type="spellStart"/>
      <w:r w:rsidRPr="00C8380A">
        <w:t>Dintersmith</w:t>
      </w:r>
      <w:proofErr w:type="spellEnd"/>
      <w:r w:rsidRPr="00C8380A">
        <w:t>, T. (2015).</w:t>
      </w:r>
      <w:r w:rsidRPr="00C8380A">
        <w:rPr>
          <w:i/>
        </w:rPr>
        <w:t xml:space="preserve"> </w:t>
      </w:r>
      <w:proofErr w:type="spellStart"/>
      <w:r w:rsidRPr="00C8380A">
        <w:rPr>
          <w:i/>
        </w:rPr>
        <w:t>Mot</w:t>
      </w:r>
      <w:proofErr w:type="spellEnd"/>
      <w:r w:rsidRPr="00C8380A">
        <w:rPr>
          <w:i/>
        </w:rPr>
        <w:t xml:space="preserve"> likely to succeed: preparing our kids for the innovation era</w:t>
      </w:r>
      <w:r w:rsidRPr="00C8380A">
        <w:t>. Scribner, New York, USA.</w:t>
      </w:r>
    </w:p>
    <w:p w14:paraId="6E57DDB5" w14:textId="77777777" w:rsidR="00523DA9" w:rsidRDefault="00523DA9" w:rsidP="00523DA9">
      <w:pPr>
        <w:ind w:left="720" w:hanging="720"/>
      </w:pPr>
    </w:p>
    <w:p w14:paraId="1EF0C3B5" w14:textId="201FB11D" w:rsidR="00C8380A" w:rsidRPr="000B38B2" w:rsidRDefault="00C8380A" w:rsidP="000B38B2">
      <w:pPr>
        <w:rPr>
          <w:rFonts w:eastAsiaTheme="majorEastAsia" w:cstheme="majorBidi"/>
          <w:b/>
          <w:sz w:val="28"/>
          <w:szCs w:val="32"/>
        </w:rPr>
      </w:pPr>
    </w:p>
    <w:sectPr w:rsidR="00C8380A" w:rsidRPr="000B38B2" w:rsidSect="00523DA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CD2F" w14:textId="77777777" w:rsidR="009D5477" w:rsidRDefault="009D5477" w:rsidP="00FF5090">
      <w:pPr>
        <w:spacing w:after="0" w:line="240" w:lineRule="auto"/>
      </w:pPr>
      <w:r>
        <w:separator/>
      </w:r>
    </w:p>
  </w:endnote>
  <w:endnote w:type="continuationSeparator" w:id="0">
    <w:p w14:paraId="39AAD1F6" w14:textId="77777777" w:rsidR="009D5477" w:rsidRDefault="009D5477" w:rsidP="00FF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9394"/>
      <w:docPartObj>
        <w:docPartGallery w:val="Page Numbers (Bottom of Page)"/>
        <w:docPartUnique/>
      </w:docPartObj>
    </w:sdtPr>
    <w:sdtEndPr>
      <w:rPr>
        <w:noProof/>
      </w:rPr>
    </w:sdtEndPr>
    <w:sdtContent>
      <w:p w14:paraId="617990A8" w14:textId="546AFD45" w:rsidR="00CC76A8" w:rsidRDefault="00CC76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71138" w14:textId="77777777" w:rsidR="00CC76A8" w:rsidRDefault="00CC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739A2" w14:textId="77777777" w:rsidR="009D5477" w:rsidRDefault="009D5477" w:rsidP="00FF5090">
      <w:pPr>
        <w:spacing w:after="0" w:line="240" w:lineRule="auto"/>
      </w:pPr>
      <w:r>
        <w:separator/>
      </w:r>
    </w:p>
  </w:footnote>
  <w:footnote w:type="continuationSeparator" w:id="0">
    <w:p w14:paraId="4F864F37" w14:textId="77777777" w:rsidR="009D5477" w:rsidRDefault="009D5477" w:rsidP="00FF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99A4" w14:textId="74E8FEFF" w:rsidR="00523DA9" w:rsidRDefault="00523DA9" w:rsidP="00523DA9">
    <w:pPr>
      <w:pStyle w:val="Header"/>
      <w:jc w:val="right"/>
    </w:pPr>
  </w:p>
  <w:p w14:paraId="7EA9D3B0" w14:textId="77777777" w:rsidR="00523DA9" w:rsidRPr="00523DA9" w:rsidRDefault="00523DA9" w:rsidP="00523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7E7"/>
    <w:multiLevelType w:val="hybridMultilevel"/>
    <w:tmpl w:val="F83E13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00D65"/>
    <w:multiLevelType w:val="hybridMultilevel"/>
    <w:tmpl w:val="69AA2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913D7"/>
    <w:multiLevelType w:val="multilevel"/>
    <w:tmpl w:val="A84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54194"/>
    <w:multiLevelType w:val="multilevel"/>
    <w:tmpl w:val="FF2E3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A25A6"/>
    <w:multiLevelType w:val="hybridMultilevel"/>
    <w:tmpl w:val="9E829364"/>
    <w:lvl w:ilvl="0" w:tplc="5792F6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K1MDYxNgRiSwMLCyUdpeDU4uLM/DyQApNaAOcUXIIsAAAA"/>
  </w:docVars>
  <w:rsids>
    <w:rsidRoot w:val="00384E72"/>
    <w:rsid w:val="00082943"/>
    <w:rsid w:val="000B38B2"/>
    <w:rsid w:val="000F69D9"/>
    <w:rsid w:val="001825E7"/>
    <w:rsid w:val="0025161B"/>
    <w:rsid w:val="00286E9C"/>
    <w:rsid w:val="00287400"/>
    <w:rsid w:val="002B52B8"/>
    <w:rsid w:val="002C1F34"/>
    <w:rsid w:val="00347825"/>
    <w:rsid w:val="00357E50"/>
    <w:rsid w:val="00384E72"/>
    <w:rsid w:val="004171EA"/>
    <w:rsid w:val="0046204D"/>
    <w:rsid w:val="00473E6F"/>
    <w:rsid w:val="00480E0C"/>
    <w:rsid w:val="004A2900"/>
    <w:rsid w:val="004D01F8"/>
    <w:rsid w:val="004D509C"/>
    <w:rsid w:val="004F2156"/>
    <w:rsid w:val="00501C8A"/>
    <w:rsid w:val="00502AAF"/>
    <w:rsid w:val="00523DA9"/>
    <w:rsid w:val="00542651"/>
    <w:rsid w:val="00582A0B"/>
    <w:rsid w:val="005A5271"/>
    <w:rsid w:val="00630339"/>
    <w:rsid w:val="00647A90"/>
    <w:rsid w:val="00672A96"/>
    <w:rsid w:val="006843BC"/>
    <w:rsid w:val="006E1C35"/>
    <w:rsid w:val="007453E2"/>
    <w:rsid w:val="00761005"/>
    <w:rsid w:val="00797EEF"/>
    <w:rsid w:val="007F3006"/>
    <w:rsid w:val="00805EAD"/>
    <w:rsid w:val="008454CC"/>
    <w:rsid w:val="008724B5"/>
    <w:rsid w:val="008921BB"/>
    <w:rsid w:val="008F26EA"/>
    <w:rsid w:val="00936C3F"/>
    <w:rsid w:val="00992D35"/>
    <w:rsid w:val="009975EE"/>
    <w:rsid w:val="009C775C"/>
    <w:rsid w:val="009D5477"/>
    <w:rsid w:val="009D7D1F"/>
    <w:rsid w:val="009E2B24"/>
    <w:rsid w:val="00A87DFD"/>
    <w:rsid w:val="00AC1075"/>
    <w:rsid w:val="00B52D43"/>
    <w:rsid w:val="00B543FB"/>
    <w:rsid w:val="00B7305F"/>
    <w:rsid w:val="00B75556"/>
    <w:rsid w:val="00B80CAF"/>
    <w:rsid w:val="00B97998"/>
    <w:rsid w:val="00BD2C6E"/>
    <w:rsid w:val="00BE5407"/>
    <w:rsid w:val="00C8380A"/>
    <w:rsid w:val="00CA0B01"/>
    <w:rsid w:val="00CB6EBC"/>
    <w:rsid w:val="00CC76A8"/>
    <w:rsid w:val="00CD3F95"/>
    <w:rsid w:val="00D90332"/>
    <w:rsid w:val="00DB6FFA"/>
    <w:rsid w:val="00DE2F34"/>
    <w:rsid w:val="00E545F7"/>
    <w:rsid w:val="00E944C9"/>
    <w:rsid w:val="00F57CCE"/>
    <w:rsid w:val="00F71985"/>
    <w:rsid w:val="00F916F6"/>
    <w:rsid w:val="00FF0361"/>
    <w:rsid w:val="00FF50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5B6A"/>
  <w15:chartTrackingRefBased/>
  <w15:docId w15:val="{E506F1C7-E462-4901-B16A-FF64C883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3BC"/>
    <w:pPr>
      <w:keepNext/>
      <w:keepLines/>
      <w:spacing w:before="240" w:after="12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E7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tab-span">
    <w:name w:val="apple-tab-span"/>
    <w:basedOn w:val="DefaultParagraphFont"/>
    <w:rsid w:val="00384E72"/>
  </w:style>
  <w:style w:type="character" w:customStyle="1" w:styleId="Heading1Char">
    <w:name w:val="Heading 1 Char"/>
    <w:basedOn w:val="DefaultParagraphFont"/>
    <w:link w:val="Heading1"/>
    <w:uiPriority w:val="9"/>
    <w:rsid w:val="006843BC"/>
    <w:rPr>
      <w:rFonts w:eastAsiaTheme="majorEastAsia" w:cstheme="majorBidi"/>
      <w:b/>
      <w:sz w:val="28"/>
      <w:szCs w:val="32"/>
    </w:rPr>
  </w:style>
  <w:style w:type="paragraph" w:styleId="TOC1">
    <w:name w:val="toc 1"/>
    <w:basedOn w:val="Normal"/>
    <w:next w:val="Normal"/>
    <w:autoRedefine/>
    <w:uiPriority w:val="39"/>
    <w:unhideWhenUsed/>
    <w:rsid w:val="00FF5090"/>
    <w:pPr>
      <w:spacing w:after="100"/>
    </w:pPr>
    <w:rPr>
      <w:b/>
    </w:rPr>
  </w:style>
  <w:style w:type="paragraph" w:styleId="Header">
    <w:name w:val="header"/>
    <w:basedOn w:val="Normal"/>
    <w:link w:val="HeaderChar"/>
    <w:uiPriority w:val="99"/>
    <w:unhideWhenUsed/>
    <w:rsid w:val="00FF5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090"/>
  </w:style>
  <w:style w:type="paragraph" w:styleId="Footer">
    <w:name w:val="footer"/>
    <w:basedOn w:val="Normal"/>
    <w:link w:val="FooterChar"/>
    <w:uiPriority w:val="99"/>
    <w:unhideWhenUsed/>
    <w:rsid w:val="00FF5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090"/>
  </w:style>
  <w:style w:type="character" w:styleId="Hyperlink">
    <w:name w:val="Hyperlink"/>
    <w:basedOn w:val="DefaultParagraphFont"/>
    <w:uiPriority w:val="99"/>
    <w:unhideWhenUsed/>
    <w:rsid w:val="00FF5090"/>
    <w:rPr>
      <w:color w:val="0563C1" w:themeColor="hyperlink"/>
      <w:u w:val="single"/>
    </w:rPr>
  </w:style>
  <w:style w:type="paragraph" w:styleId="ListParagraph">
    <w:name w:val="List Paragraph"/>
    <w:basedOn w:val="Normal"/>
    <w:uiPriority w:val="34"/>
    <w:qFormat/>
    <w:rsid w:val="004A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7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5303-311E-46A9-BB38-68A00746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4701</Words>
  <Characters>26801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Glenn</dc:creator>
  <cp:keywords/>
  <dc:description/>
  <cp:lastModifiedBy>eunice</cp:lastModifiedBy>
  <cp:revision>2</cp:revision>
  <dcterms:created xsi:type="dcterms:W3CDTF">2019-06-07T05:33:00Z</dcterms:created>
  <dcterms:modified xsi:type="dcterms:W3CDTF">2019-06-07T05:33:00Z</dcterms:modified>
</cp:coreProperties>
</file>