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0C2" w:rsidRPr="00260EB0" w:rsidRDefault="006B30C2" w:rsidP="006B30C2">
      <w:pPr>
        <w:pStyle w:val="Heading1"/>
      </w:pPr>
      <w:bookmarkStart w:id="0" w:name="_GoBack"/>
      <w:bookmarkEnd w:id="0"/>
      <w:r w:rsidRPr="00260EB0">
        <w:t>SOC 112 Module Three Worksheet: Statuses and Roles</w:t>
      </w:r>
    </w:p>
    <w:p w:rsidR="006B30C2" w:rsidRPr="00260EB0" w:rsidRDefault="006B30C2" w:rsidP="006B30C2">
      <w:pPr>
        <w:spacing w:after="0"/>
        <w:jc w:val="center"/>
        <w:rPr>
          <w:b/>
          <w:sz w:val="24"/>
          <w:szCs w:val="24"/>
        </w:rPr>
      </w:pPr>
    </w:p>
    <w:p w:rsidR="006B30C2" w:rsidRPr="009D715D" w:rsidRDefault="006B30C2" w:rsidP="006B30C2">
      <w:pPr>
        <w:spacing w:after="0"/>
      </w:pPr>
      <w:r w:rsidRPr="009D715D">
        <w:t>Answer the following questions in complete sentences (1–3 sentences per question).</w:t>
      </w:r>
      <w:r w:rsidR="00C52C5C" w:rsidRPr="00C52C5C">
        <w:t xml:space="preserve"> </w:t>
      </w:r>
      <w:r w:rsidR="00C52C5C">
        <w:t>Find at least one scholarly resource to support your answers.</w:t>
      </w:r>
      <w:r w:rsidRPr="009D715D">
        <w:t xml:space="preserve"> Your responses will be graded using the Module Three Worksheet Rubric.</w:t>
      </w:r>
    </w:p>
    <w:p w:rsidR="006B30C2" w:rsidRDefault="006B30C2" w:rsidP="006B30C2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1"/>
        <w:gridCol w:w="2813"/>
        <w:gridCol w:w="2813"/>
        <w:gridCol w:w="2813"/>
      </w:tblGrid>
      <w:tr w:rsidR="00347AED" w:rsidTr="009D715D">
        <w:trPr>
          <w:cantSplit/>
          <w:jc w:val="center"/>
        </w:trPr>
        <w:tc>
          <w:tcPr>
            <w:tcW w:w="4511" w:type="dxa"/>
          </w:tcPr>
          <w:p w:rsidR="00347AED" w:rsidRDefault="00347AED" w:rsidP="00CC6F0D">
            <w:pPr>
              <w:rPr>
                <w:rFonts w:cstheme="minorHAnsi"/>
                <w:color w:val="000000"/>
                <w:sz w:val="24"/>
                <w:szCs w:val="24"/>
                <w:lang w:val="en-AU" w:bidi="en-US"/>
              </w:rPr>
            </w:pPr>
          </w:p>
        </w:tc>
        <w:tc>
          <w:tcPr>
            <w:tcW w:w="2813" w:type="dxa"/>
            <w:vAlign w:val="center"/>
          </w:tcPr>
          <w:p w:rsidR="00347AED" w:rsidRDefault="00347AED" w:rsidP="00CC6F0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1</w:t>
            </w:r>
          </w:p>
        </w:tc>
        <w:tc>
          <w:tcPr>
            <w:tcW w:w="2813" w:type="dxa"/>
            <w:vAlign w:val="center"/>
          </w:tcPr>
          <w:p w:rsidR="00347AED" w:rsidRDefault="00347AED" w:rsidP="00CC6F0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2</w:t>
            </w:r>
          </w:p>
        </w:tc>
        <w:tc>
          <w:tcPr>
            <w:tcW w:w="2813" w:type="dxa"/>
            <w:vAlign w:val="center"/>
          </w:tcPr>
          <w:p w:rsidR="00347AED" w:rsidRDefault="00347AED" w:rsidP="00CC6F0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3</w:t>
            </w:r>
          </w:p>
        </w:tc>
      </w:tr>
      <w:tr w:rsidR="00347AED" w:rsidTr="009D715D">
        <w:trPr>
          <w:cantSplit/>
          <w:jc w:val="center"/>
        </w:trPr>
        <w:tc>
          <w:tcPr>
            <w:tcW w:w="4511" w:type="dxa"/>
          </w:tcPr>
          <w:p w:rsidR="00347AED" w:rsidRDefault="00347AED" w:rsidP="009D71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AU" w:bidi="en-US"/>
              </w:rPr>
              <w:t xml:space="preserve">1. </w:t>
            </w:r>
            <w:r w:rsidRPr="00260EB0">
              <w:rPr>
                <w:rFonts w:cstheme="minorHAnsi"/>
                <w:color w:val="000000"/>
                <w:sz w:val="24"/>
                <w:szCs w:val="24"/>
                <w:lang w:val="en-AU" w:bidi="en-US"/>
              </w:rPr>
              <w:t xml:space="preserve">Describe </w:t>
            </w:r>
            <w:r>
              <w:rPr>
                <w:sz w:val="24"/>
                <w:szCs w:val="24"/>
                <w:shd w:val="clear" w:color="auto" w:fill="FFFFFF"/>
              </w:rPr>
              <w:t>three</w:t>
            </w:r>
            <w:r w:rsidRPr="00260EB0">
              <w:rPr>
                <w:sz w:val="24"/>
                <w:szCs w:val="24"/>
                <w:shd w:val="clear" w:color="auto" w:fill="FFFFFF"/>
              </w:rPr>
              <w:t xml:space="preserve"> statuses that you occupy in society</w:t>
            </w:r>
            <w:r w:rsidRPr="00260EB0">
              <w:rPr>
                <w:rFonts w:cstheme="minorHAnsi"/>
                <w:sz w:val="24"/>
                <w:szCs w:val="24"/>
              </w:rPr>
              <w:t>.</w:t>
            </w:r>
          </w:p>
          <w:p w:rsidR="00347AED" w:rsidRPr="00260EB0" w:rsidRDefault="00347AED" w:rsidP="00CC6F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3" w:type="dxa"/>
          </w:tcPr>
          <w:p w:rsidR="00347AED" w:rsidRDefault="00347AED" w:rsidP="00CC6F0D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347AED" w:rsidRDefault="00347AED" w:rsidP="00CC6F0D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347AED" w:rsidRDefault="00347AED" w:rsidP="00CC6F0D">
            <w:pPr>
              <w:rPr>
                <w:sz w:val="24"/>
                <w:szCs w:val="24"/>
              </w:rPr>
            </w:pPr>
          </w:p>
        </w:tc>
      </w:tr>
      <w:tr w:rsidR="00347AED" w:rsidTr="009D715D">
        <w:trPr>
          <w:cantSplit/>
          <w:jc w:val="center"/>
        </w:trPr>
        <w:tc>
          <w:tcPr>
            <w:tcW w:w="4511" w:type="dxa"/>
          </w:tcPr>
          <w:p w:rsidR="00347AED" w:rsidRPr="004C1345" w:rsidRDefault="00347AED" w:rsidP="00CC6F0D">
            <w:pPr>
              <w:rPr>
                <w:sz w:val="24"/>
                <w:szCs w:val="24"/>
              </w:rPr>
            </w:pPr>
            <w:r w:rsidRPr="004C1345">
              <w:rPr>
                <w:rFonts w:cstheme="minorHAnsi"/>
                <w:color w:val="000000"/>
                <w:sz w:val="24"/>
                <w:szCs w:val="24"/>
                <w:lang w:val="en-AU" w:bidi="en-US"/>
              </w:rPr>
              <w:t xml:space="preserve">2. </w:t>
            </w:r>
            <w:r w:rsidRPr="00F878ED">
              <w:rPr>
                <w:sz w:val="24"/>
                <w:szCs w:val="24"/>
                <w:shd w:val="clear" w:color="auto" w:fill="FFFFFF"/>
              </w:rPr>
              <w:t>Identify whether each status is ascribed or achieved.</w:t>
            </w:r>
          </w:p>
          <w:p w:rsidR="00347AED" w:rsidRDefault="00347AED" w:rsidP="00CC6F0D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347AED" w:rsidRDefault="00347AED" w:rsidP="00CC6F0D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347AED" w:rsidRDefault="00347AED" w:rsidP="00CC6F0D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347AED" w:rsidRDefault="00347AED" w:rsidP="00CC6F0D">
            <w:pPr>
              <w:rPr>
                <w:sz w:val="24"/>
                <w:szCs w:val="24"/>
              </w:rPr>
            </w:pPr>
          </w:p>
        </w:tc>
      </w:tr>
      <w:tr w:rsidR="00347AED" w:rsidTr="009D715D">
        <w:trPr>
          <w:cantSplit/>
          <w:jc w:val="center"/>
        </w:trPr>
        <w:tc>
          <w:tcPr>
            <w:tcW w:w="4511" w:type="dxa"/>
          </w:tcPr>
          <w:p w:rsidR="00347AED" w:rsidRPr="00F878ED" w:rsidRDefault="00347AED" w:rsidP="00CC6F0D">
            <w:pPr>
              <w:rPr>
                <w:sz w:val="24"/>
                <w:szCs w:val="24"/>
                <w:shd w:val="clear" w:color="auto" w:fill="FFFFFF"/>
              </w:rPr>
            </w:pPr>
            <w:r w:rsidRPr="00F878ED">
              <w:rPr>
                <w:sz w:val="24"/>
                <w:szCs w:val="24"/>
                <w:shd w:val="clear" w:color="auto" w:fill="FFFFFF"/>
              </w:rPr>
              <w:t xml:space="preserve">3. Explain what the role expectations are for each status. </w:t>
            </w:r>
          </w:p>
          <w:p w:rsidR="00347AED" w:rsidRPr="004C1345" w:rsidRDefault="00347AED" w:rsidP="00CC6F0D">
            <w:pPr>
              <w:rPr>
                <w:rFonts w:cstheme="minorHAnsi"/>
                <w:color w:val="000000"/>
                <w:sz w:val="24"/>
                <w:szCs w:val="24"/>
                <w:lang w:val="en-AU" w:bidi="en-US"/>
              </w:rPr>
            </w:pPr>
          </w:p>
        </w:tc>
        <w:tc>
          <w:tcPr>
            <w:tcW w:w="2813" w:type="dxa"/>
          </w:tcPr>
          <w:p w:rsidR="00347AED" w:rsidRDefault="00347AED" w:rsidP="00CC6F0D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347AED" w:rsidRDefault="00347AED" w:rsidP="00CC6F0D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347AED" w:rsidRDefault="00347AED" w:rsidP="00CC6F0D">
            <w:pPr>
              <w:rPr>
                <w:sz w:val="24"/>
                <w:szCs w:val="24"/>
              </w:rPr>
            </w:pPr>
          </w:p>
        </w:tc>
      </w:tr>
      <w:tr w:rsidR="00347AED" w:rsidTr="009D715D">
        <w:trPr>
          <w:cantSplit/>
          <w:jc w:val="center"/>
        </w:trPr>
        <w:tc>
          <w:tcPr>
            <w:tcW w:w="4511" w:type="dxa"/>
          </w:tcPr>
          <w:p w:rsidR="00347AED" w:rsidRPr="00F878ED" w:rsidRDefault="00347AED" w:rsidP="00CC6F0D">
            <w:pPr>
              <w:rPr>
                <w:sz w:val="24"/>
                <w:szCs w:val="24"/>
                <w:shd w:val="clear" w:color="auto" w:fill="FFFFFF"/>
              </w:rPr>
            </w:pPr>
            <w:r w:rsidRPr="00F878ED">
              <w:rPr>
                <w:sz w:val="24"/>
                <w:szCs w:val="24"/>
                <w:shd w:val="clear" w:color="auto" w:fill="FFFFFF"/>
              </w:rPr>
              <w:t>4. Provide one example of role conflict.</w:t>
            </w:r>
          </w:p>
          <w:p w:rsidR="00347AED" w:rsidRPr="00F878ED" w:rsidRDefault="00347AED" w:rsidP="00CC6F0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3" w:type="dxa"/>
          </w:tcPr>
          <w:p w:rsidR="00347AED" w:rsidRDefault="00347AED" w:rsidP="00CC6F0D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347AED" w:rsidRDefault="00347AED" w:rsidP="00CC6F0D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347AED" w:rsidRDefault="00347AED" w:rsidP="00CC6F0D">
            <w:pPr>
              <w:rPr>
                <w:sz w:val="24"/>
                <w:szCs w:val="24"/>
              </w:rPr>
            </w:pPr>
          </w:p>
        </w:tc>
      </w:tr>
      <w:tr w:rsidR="00347AED" w:rsidTr="009D715D">
        <w:trPr>
          <w:cantSplit/>
          <w:jc w:val="center"/>
        </w:trPr>
        <w:tc>
          <w:tcPr>
            <w:tcW w:w="4511" w:type="dxa"/>
          </w:tcPr>
          <w:p w:rsidR="00347AED" w:rsidRPr="00F878ED" w:rsidRDefault="00347AED" w:rsidP="00CC6F0D">
            <w:pPr>
              <w:rPr>
                <w:sz w:val="24"/>
                <w:szCs w:val="24"/>
                <w:shd w:val="clear" w:color="auto" w:fill="FFFFFF"/>
              </w:rPr>
            </w:pPr>
            <w:r w:rsidRPr="00F878ED">
              <w:rPr>
                <w:sz w:val="24"/>
                <w:szCs w:val="24"/>
                <w:shd w:val="clear" w:color="auto" w:fill="FFFFFF"/>
              </w:rPr>
              <w:t>5. Provide one example of role strain.</w:t>
            </w:r>
          </w:p>
          <w:p w:rsidR="00347AED" w:rsidRPr="00F878ED" w:rsidRDefault="00347AED" w:rsidP="00CC6F0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3" w:type="dxa"/>
          </w:tcPr>
          <w:p w:rsidR="00347AED" w:rsidRDefault="00347AED" w:rsidP="00CC6F0D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347AED" w:rsidRDefault="00347AED" w:rsidP="00CC6F0D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347AED" w:rsidRDefault="00347AED" w:rsidP="00CC6F0D">
            <w:pPr>
              <w:rPr>
                <w:sz w:val="24"/>
                <w:szCs w:val="24"/>
              </w:rPr>
            </w:pPr>
          </w:p>
        </w:tc>
      </w:tr>
      <w:tr w:rsidR="00347AED" w:rsidTr="009D715D">
        <w:trPr>
          <w:cantSplit/>
          <w:jc w:val="center"/>
        </w:trPr>
        <w:tc>
          <w:tcPr>
            <w:tcW w:w="4511" w:type="dxa"/>
          </w:tcPr>
          <w:p w:rsidR="00347AED" w:rsidRPr="00F878ED" w:rsidRDefault="00347AED" w:rsidP="00CC6F0D">
            <w:pPr>
              <w:rPr>
                <w:sz w:val="24"/>
                <w:szCs w:val="24"/>
              </w:rPr>
            </w:pPr>
            <w:r w:rsidRPr="00F878ED">
              <w:rPr>
                <w:sz w:val="24"/>
                <w:szCs w:val="24"/>
                <w:shd w:val="clear" w:color="auto" w:fill="FFFFFF"/>
              </w:rPr>
              <w:lastRenderedPageBreak/>
              <w:t>6. Provide one example of a status that might be subject to social inequalities. For example, mothers tend to make less money in the workplace, an experience known as the motherhood penalty.</w:t>
            </w:r>
          </w:p>
          <w:p w:rsidR="00347AED" w:rsidRPr="00F878ED" w:rsidRDefault="00347AED" w:rsidP="00CC6F0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3" w:type="dxa"/>
          </w:tcPr>
          <w:p w:rsidR="00347AED" w:rsidRDefault="00347AED" w:rsidP="00CC6F0D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347AED" w:rsidRDefault="00347AED" w:rsidP="00CC6F0D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347AED" w:rsidRDefault="00347AED" w:rsidP="00CC6F0D">
            <w:pPr>
              <w:rPr>
                <w:sz w:val="24"/>
                <w:szCs w:val="24"/>
              </w:rPr>
            </w:pPr>
          </w:p>
        </w:tc>
      </w:tr>
    </w:tbl>
    <w:p w:rsidR="00734497" w:rsidRDefault="00734497"/>
    <w:sectPr w:rsidR="00734497" w:rsidSect="006B30C2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8D8" w:rsidRDefault="009908D8" w:rsidP="00B828F1">
      <w:pPr>
        <w:spacing w:after="0" w:line="240" w:lineRule="auto"/>
      </w:pPr>
      <w:r>
        <w:separator/>
      </w:r>
    </w:p>
  </w:endnote>
  <w:endnote w:type="continuationSeparator" w:id="0">
    <w:p w:rsidR="009908D8" w:rsidRDefault="009908D8" w:rsidP="00B8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8D8" w:rsidRDefault="009908D8" w:rsidP="00B828F1">
      <w:pPr>
        <w:spacing w:after="0" w:line="240" w:lineRule="auto"/>
      </w:pPr>
      <w:r>
        <w:separator/>
      </w:r>
    </w:p>
  </w:footnote>
  <w:footnote w:type="continuationSeparator" w:id="0">
    <w:p w:rsidR="009908D8" w:rsidRDefault="009908D8" w:rsidP="00B82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8F1" w:rsidRDefault="00B828F1" w:rsidP="00B828F1">
    <w:pPr>
      <w:pStyle w:val="Header"/>
      <w:spacing w:after="200"/>
      <w:jc w:val="center"/>
    </w:pPr>
    <w:r w:rsidRPr="009F1E8E">
      <w:rPr>
        <w:noProof/>
      </w:rPr>
      <w:drawing>
        <wp:inline distT="0" distB="0" distL="0" distR="0" wp14:anchorId="609C2387" wp14:editId="610BED00">
          <wp:extent cx="2743200" cy="409575"/>
          <wp:effectExtent l="0" t="0" r="0" b="0"/>
          <wp:docPr id="1" name="Picture 1" descr="MP_SNHU_withQuill_Horizst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_SNHU_withQuill_Horizst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C2"/>
    <w:rsid w:val="000776B4"/>
    <w:rsid w:val="001B36A4"/>
    <w:rsid w:val="00347AED"/>
    <w:rsid w:val="003C131C"/>
    <w:rsid w:val="003C27C9"/>
    <w:rsid w:val="006B30C2"/>
    <w:rsid w:val="00734497"/>
    <w:rsid w:val="00897295"/>
    <w:rsid w:val="009908D8"/>
    <w:rsid w:val="009D715D"/>
    <w:rsid w:val="00A327D8"/>
    <w:rsid w:val="00B66845"/>
    <w:rsid w:val="00B828F1"/>
    <w:rsid w:val="00BA4F50"/>
    <w:rsid w:val="00C52C5C"/>
    <w:rsid w:val="00D1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BC0516-9FC0-40D7-AE31-CE3A59E0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0C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B30C2"/>
    <w:pPr>
      <w:spacing w:after="0"/>
      <w:jc w:val="center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0C2"/>
    <w:rPr>
      <w:b/>
      <w:sz w:val="24"/>
      <w:szCs w:val="24"/>
    </w:rPr>
  </w:style>
  <w:style w:type="table" w:styleId="TableGrid">
    <w:name w:val="Table Grid"/>
    <w:basedOn w:val="TableNormal"/>
    <w:uiPriority w:val="59"/>
    <w:rsid w:val="006B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7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1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1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2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8F1"/>
  </w:style>
  <w:style w:type="paragraph" w:styleId="Footer">
    <w:name w:val="footer"/>
    <w:basedOn w:val="Normal"/>
    <w:link w:val="FooterChar"/>
    <w:uiPriority w:val="99"/>
    <w:unhideWhenUsed/>
    <w:rsid w:val="00B82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7F6D1A260A4394C18F5AF72445EA" ma:contentTypeVersion="3" ma:contentTypeDescription="Create a new document." ma:contentTypeScope="" ma:versionID="d6a723735a0ade9a92961b83aee31d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45bd7673956a623930e5662e321f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6E040-C666-4629-BC5C-AEE1E98D5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3A895-C21D-4568-A58B-CD0813644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04300B-C500-41EE-A6A9-0B952FFB97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Prosser, Aaron</dc:creator>
  <cp:keywords/>
  <dc:description/>
  <cp:lastModifiedBy>Chase</cp:lastModifiedBy>
  <cp:revision>2</cp:revision>
  <dcterms:created xsi:type="dcterms:W3CDTF">2019-03-18T19:58:00Z</dcterms:created>
  <dcterms:modified xsi:type="dcterms:W3CDTF">2019-03-18T19:58:00Z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0x01010019267F6D1A260A4394C18F5AF72445EA</vt:lpwstr>
  </property>
</Properties>
</file>