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D8AF7" w14:textId="77777777" w:rsidR="00C41748" w:rsidRDefault="00C41748" w:rsidP="00C41748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Campaign finance </w:t>
      </w:r>
    </w:p>
    <w:p w14:paraId="3A19324C" w14:textId="77777777" w:rsidR="00801CAD" w:rsidRPr="005B1D98" w:rsidRDefault="00B136FB" w:rsidP="0066244A">
      <w:pPr>
        <w:spacing w:line="480" w:lineRule="auto"/>
        <w:ind w:firstLine="720"/>
      </w:pPr>
      <w:r>
        <w:t>Early Americans</w:t>
      </w:r>
      <w:r w:rsidR="00311F1F">
        <w:t>,</w:t>
      </w:r>
      <w:r>
        <w:t xml:space="preserve"> from Thomas Jefferson to Theodore Roosevelt</w:t>
      </w:r>
      <w:r w:rsidR="00311F1F">
        <w:t>,</w:t>
      </w:r>
      <w:r>
        <w:t xml:space="preserve"> feared the influence of money on U.S. elections.  Most of their fears were hypothetical, based on the idea that money could act as a corrupting influence on government.  Their fears were manifest in the twentieth and twenty-first centuries with the 2016 presidential election and its $6.8 billion spent </w:t>
      </w:r>
      <w:r w:rsidR="0066244A">
        <w:t>(</w:t>
      </w:r>
      <w:proofErr w:type="spellStart"/>
      <w:r w:rsidR="0066244A">
        <w:t>Berr</w:t>
      </w:r>
      <w:proofErr w:type="spellEnd"/>
      <w:r w:rsidR="0066244A">
        <w:t xml:space="preserve">) </w:t>
      </w:r>
      <w:r>
        <w:t xml:space="preserve">representing a high, or low, point.  </w:t>
      </w:r>
      <w:r w:rsidR="0066244A">
        <w:t xml:space="preserve">This ever-increasing amount of money in the U.S. political system seems to be unaffected by the slew of campaign finance laws that have been passed in order to stem the flow.  </w:t>
      </w:r>
      <w:r w:rsidR="005B1D98" w:rsidRPr="005B1D98">
        <w:t xml:space="preserve">What follows is a list of the major American campaign finance laws.  I have tried to keep the descriptions brief and targeted toward the central elements and impacts of each law. </w:t>
      </w:r>
    </w:p>
    <w:p w14:paraId="73AB5E28" w14:textId="77777777" w:rsidR="00C41748" w:rsidRPr="00942EA7" w:rsidRDefault="00C41748" w:rsidP="00942EA7">
      <w:pPr>
        <w:jc w:val="center"/>
        <w:rPr>
          <w:b/>
          <w:u w:val="single"/>
        </w:rPr>
      </w:pPr>
      <w:r w:rsidRPr="00942EA7">
        <w:rPr>
          <w:b/>
          <w:u w:val="single"/>
        </w:rPr>
        <w:t>Campaign Finance Laws</w:t>
      </w:r>
    </w:p>
    <w:p w14:paraId="1048087D" w14:textId="77777777" w:rsidR="00F26022" w:rsidRDefault="00F26022" w:rsidP="00C41748">
      <w:pPr>
        <w:rPr>
          <w:b/>
        </w:rPr>
      </w:pPr>
      <w:r>
        <w:rPr>
          <w:b/>
        </w:rPr>
        <w:t>1867</w:t>
      </w:r>
      <w:r>
        <w:rPr>
          <w:b/>
        </w:rPr>
        <w:tab/>
        <w:t xml:space="preserve">Naval Appropriations Bill </w:t>
      </w:r>
    </w:p>
    <w:p w14:paraId="367A62E0" w14:textId="77777777" w:rsidR="00F26022" w:rsidRPr="00F93A21" w:rsidRDefault="00C41748" w:rsidP="00F26022">
      <w:pPr>
        <w:pStyle w:val="ListParagraph"/>
        <w:numPr>
          <w:ilvl w:val="0"/>
          <w:numId w:val="8"/>
        </w:numPr>
      </w:pPr>
      <w:r w:rsidRPr="00F93A21">
        <w:t>The first Federal campaign finance legislation was an 1867 law that prohibited Federal officers from requesting contributions from Navy Yard workers</w:t>
      </w:r>
      <w:r w:rsidR="00F26022">
        <w:t xml:space="preserve"> (Geraci)</w:t>
      </w:r>
      <w:r w:rsidR="0066244A">
        <w:t>.</w:t>
      </w:r>
    </w:p>
    <w:p w14:paraId="102FFF73" w14:textId="77777777" w:rsidR="00C41748" w:rsidRDefault="00F26022" w:rsidP="00C41748">
      <w:pPr>
        <w:rPr>
          <w:b/>
        </w:rPr>
      </w:pPr>
      <w:r>
        <w:rPr>
          <w:b/>
        </w:rPr>
        <w:t>1907</w:t>
      </w:r>
      <w:r>
        <w:rPr>
          <w:b/>
        </w:rPr>
        <w:tab/>
      </w:r>
      <w:r w:rsidR="00C41748">
        <w:rPr>
          <w:b/>
        </w:rPr>
        <w:t xml:space="preserve">Tillman Act </w:t>
      </w:r>
    </w:p>
    <w:p w14:paraId="1C678A9D" w14:textId="77777777" w:rsidR="00C41748" w:rsidRDefault="00C41748" w:rsidP="00C41748">
      <w:pPr>
        <w:pStyle w:val="NormalWeb"/>
        <w:numPr>
          <w:ilvl w:val="0"/>
          <w:numId w:val="8"/>
        </w:numPr>
      </w:pPr>
      <w:r w:rsidRPr="00F93A21">
        <w:t xml:space="preserve">Prohibited corporations and national banks from contributing money to federal campaigns. </w:t>
      </w:r>
    </w:p>
    <w:p w14:paraId="4B3D667A" w14:textId="77777777" w:rsidR="00C41748" w:rsidRDefault="00F26022" w:rsidP="00C41748">
      <w:pPr>
        <w:pStyle w:val="NormalWeb"/>
      </w:pPr>
      <w:r>
        <w:rPr>
          <w:b/>
        </w:rPr>
        <w:t>1925</w:t>
      </w:r>
      <w:r>
        <w:rPr>
          <w:b/>
        </w:rPr>
        <w:tab/>
      </w:r>
      <w:r w:rsidR="00C41748" w:rsidRPr="00F93A21">
        <w:rPr>
          <w:b/>
        </w:rPr>
        <w:t xml:space="preserve">The Federal Corrupt Practices </w:t>
      </w:r>
      <w:r>
        <w:rPr>
          <w:b/>
        </w:rPr>
        <w:t>Act</w:t>
      </w:r>
    </w:p>
    <w:p w14:paraId="0D912E11" w14:textId="77777777" w:rsidR="00C41748" w:rsidRDefault="00C41748" w:rsidP="00C41748">
      <w:pPr>
        <w:pStyle w:val="NormalWeb"/>
        <w:numPr>
          <w:ilvl w:val="0"/>
          <w:numId w:val="8"/>
        </w:numPr>
      </w:pPr>
      <w:r>
        <w:t xml:space="preserve">Affected general election activity only, strengthened disclosure requirements and increased expenditure limits. </w:t>
      </w:r>
    </w:p>
    <w:p w14:paraId="15A0EA31" w14:textId="77777777" w:rsidR="00801CAD" w:rsidRDefault="00801CAD" w:rsidP="00C41748">
      <w:pPr>
        <w:pStyle w:val="NormalWeb"/>
        <w:numPr>
          <w:ilvl w:val="0"/>
          <w:numId w:val="8"/>
        </w:numPr>
      </w:pPr>
      <w:r>
        <w:t xml:space="preserve">Only contained a weak enforcement mechanism and loopholes were easily found (Harrison et al. 289). </w:t>
      </w:r>
    </w:p>
    <w:p w14:paraId="59450D20" w14:textId="77777777" w:rsidR="00C41748" w:rsidRDefault="00F26022" w:rsidP="00C41748">
      <w:pPr>
        <w:pStyle w:val="NormalWeb"/>
      </w:pPr>
      <w:r>
        <w:rPr>
          <w:b/>
        </w:rPr>
        <w:t xml:space="preserve">1939, 1940 </w:t>
      </w:r>
      <w:r>
        <w:rPr>
          <w:b/>
        </w:rPr>
        <w:tab/>
      </w:r>
      <w:r w:rsidR="00C41748" w:rsidRPr="00F93A21">
        <w:rPr>
          <w:b/>
        </w:rPr>
        <w:t xml:space="preserve">The Hatch Act </w:t>
      </w:r>
    </w:p>
    <w:p w14:paraId="49156EB9" w14:textId="77777777" w:rsidR="00C41748" w:rsidRDefault="00C41748" w:rsidP="00C41748">
      <w:pPr>
        <w:pStyle w:val="NormalWeb"/>
        <w:numPr>
          <w:ilvl w:val="0"/>
          <w:numId w:val="8"/>
        </w:numPr>
      </w:pPr>
      <w:r>
        <w:t xml:space="preserve">Asserted the right of Congress to regulate primary elections and included provisions limiting contributions </w:t>
      </w:r>
      <w:r w:rsidR="00F26022">
        <w:t xml:space="preserve">to $5,000 from any individual to a campaign committee. </w:t>
      </w:r>
      <w:r>
        <w:t xml:space="preserve"> </w:t>
      </w:r>
    </w:p>
    <w:p w14:paraId="564590D6" w14:textId="77777777" w:rsidR="00801CAD" w:rsidRDefault="00801CAD" w:rsidP="00C41748">
      <w:pPr>
        <w:pStyle w:val="NormalWeb"/>
        <w:numPr>
          <w:ilvl w:val="0"/>
          <w:numId w:val="8"/>
        </w:numPr>
      </w:pPr>
      <w:r>
        <w:lastRenderedPageBreak/>
        <w:t xml:space="preserve">Banned partisan political activities by all federal government employees except the president, vice-president, and Senate-confirmed political appointees (Harrison et al. 289). </w:t>
      </w:r>
    </w:p>
    <w:p w14:paraId="45D25595" w14:textId="77777777" w:rsidR="00F26022" w:rsidRDefault="00F26022" w:rsidP="00C41748">
      <w:pPr>
        <w:pStyle w:val="NormalWeb"/>
        <w:numPr>
          <w:ilvl w:val="0"/>
          <w:numId w:val="8"/>
        </w:numPr>
      </w:pPr>
      <w:r>
        <w:t xml:space="preserve">Eventually weakened through loopholes. </w:t>
      </w:r>
    </w:p>
    <w:p w14:paraId="312A07ED" w14:textId="77777777" w:rsidR="00C41748" w:rsidRDefault="00F26022" w:rsidP="00C41748">
      <w:pPr>
        <w:pStyle w:val="NormalWeb"/>
      </w:pPr>
      <w:r w:rsidRPr="00F93A21">
        <w:rPr>
          <w:b/>
        </w:rPr>
        <w:t>1947</w:t>
      </w:r>
      <w:r>
        <w:t xml:space="preserve"> </w:t>
      </w:r>
      <w:r>
        <w:tab/>
      </w:r>
      <w:r w:rsidR="0066244A">
        <w:rPr>
          <w:b/>
        </w:rPr>
        <w:t xml:space="preserve">The Taft-Hartley </w:t>
      </w:r>
      <w:r w:rsidR="00C41748" w:rsidRPr="00F93A21">
        <w:rPr>
          <w:b/>
        </w:rPr>
        <w:t xml:space="preserve">Act </w:t>
      </w:r>
    </w:p>
    <w:p w14:paraId="347EDDEC" w14:textId="77777777" w:rsidR="00C41748" w:rsidRDefault="00C41748" w:rsidP="00C41748">
      <w:pPr>
        <w:pStyle w:val="NormalWeb"/>
        <w:numPr>
          <w:ilvl w:val="0"/>
          <w:numId w:val="8"/>
        </w:numPr>
      </w:pPr>
      <w:r>
        <w:t>Barred both labor unions and corporations from making expenditures and contributions in Federal elections.</w:t>
      </w:r>
    </w:p>
    <w:p w14:paraId="021483E0" w14:textId="77777777" w:rsidR="00C41748" w:rsidRDefault="00C41748" w:rsidP="00C41748">
      <w:pPr>
        <w:rPr>
          <w:b/>
        </w:rPr>
      </w:pPr>
    </w:p>
    <w:p w14:paraId="6813D362" w14:textId="77777777" w:rsidR="00C41748" w:rsidRDefault="00F26022" w:rsidP="00F26022">
      <w:pPr>
        <w:ind w:firstLine="360"/>
        <w:rPr>
          <w:b/>
        </w:rPr>
      </w:pPr>
      <w:r>
        <w:rPr>
          <w:b/>
        </w:rPr>
        <w:t>1971</w:t>
      </w:r>
      <w:r w:rsidR="002B0A44">
        <w:rPr>
          <w:b/>
        </w:rPr>
        <w:t>, 1974, 1979</w:t>
      </w:r>
      <w:r>
        <w:rPr>
          <w:b/>
        </w:rPr>
        <w:tab/>
      </w:r>
      <w:r w:rsidR="002B0A44">
        <w:rPr>
          <w:b/>
        </w:rPr>
        <w:t>Federal Elections Campaign Act (</w:t>
      </w:r>
      <w:r>
        <w:rPr>
          <w:b/>
        </w:rPr>
        <w:t>FECA</w:t>
      </w:r>
      <w:r w:rsidR="002B0A44">
        <w:rPr>
          <w:b/>
        </w:rPr>
        <w:t>)</w:t>
      </w:r>
      <w:r>
        <w:rPr>
          <w:b/>
        </w:rPr>
        <w:t xml:space="preserve"> </w:t>
      </w:r>
    </w:p>
    <w:p w14:paraId="5BA13A7B" w14:textId="77777777" w:rsidR="00C41748" w:rsidRDefault="002B0A44" w:rsidP="00C41748">
      <w:pPr>
        <w:pStyle w:val="ListParagraph"/>
        <w:numPr>
          <w:ilvl w:val="0"/>
          <w:numId w:val="2"/>
        </w:numPr>
      </w:pPr>
      <w:r>
        <w:t>Provided partial public funding for presidential campaigns and required full disclosure and strict limits on all contributions and federal election expenditures (</w:t>
      </w:r>
      <w:proofErr w:type="spellStart"/>
      <w:r>
        <w:t>Kernell</w:t>
      </w:r>
      <w:proofErr w:type="spellEnd"/>
      <w:r>
        <w:t xml:space="preserve"> et al. 517) </w:t>
      </w:r>
    </w:p>
    <w:p w14:paraId="534D7665" w14:textId="77777777" w:rsidR="002B0A44" w:rsidRPr="0071772F" w:rsidRDefault="002B0A44" w:rsidP="00C41748">
      <w:pPr>
        <w:pStyle w:val="ListParagraph"/>
        <w:numPr>
          <w:ilvl w:val="0"/>
          <w:numId w:val="2"/>
        </w:numPr>
      </w:pPr>
      <w:r w:rsidRPr="002B0A44">
        <w:rPr>
          <w:u w:val="single"/>
        </w:rPr>
        <w:t>Federal Election Campaign Act of 1974</w:t>
      </w:r>
      <w:r>
        <w:t xml:space="preserve"> created the Federal Election Commission (FEC). </w:t>
      </w:r>
    </w:p>
    <w:p w14:paraId="5DC3E83E" w14:textId="77777777" w:rsidR="00C41748" w:rsidRPr="0071772F" w:rsidRDefault="00C41748" w:rsidP="00C41748">
      <w:pPr>
        <w:pStyle w:val="ListParagraph"/>
        <w:numPr>
          <w:ilvl w:val="0"/>
          <w:numId w:val="2"/>
        </w:numPr>
        <w:rPr>
          <w:b/>
        </w:rPr>
      </w:pPr>
      <w:r>
        <w:rPr>
          <w:lang w:val="en"/>
        </w:rPr>
        <w:t>In the wake of the Watergate affair, Congress attempted to ferret out corruption in political campaigns by restricting financial contributions to candidates</w:t>
      </w:r>
      <w:r w:rsidR="002B0A44">
        <w:rPr>
          <w:lang w:val="en"/>
        </w:rPr>
        <w:t xml:space="preserve"> (</w:t>
      </w:r>
      <w:proofErr w:type="spellStart"/>
      <w:r w:rsidR="002B0A44">
        <w:rPr>
          <w:lang w:val="en"/>
        </w:rPr>
        <w:t>Gerachi</w:t>
      </w:r>
      <w:proofErr w:type="spellEnd"/>
      <w:r w:rsidR="002B0A44">
        <w:rPr>
          <w:lang w:val="en"/>
        </w:rPr>
        <w:t>)</w:t>
      </w:r>
      <w:r>
        <w:rPr>
          <w:lang w:val="en"/>
        </w:rPr>
        <w:t xml:space="preserve">. </w:t>
      </w:r>
    </w:p>
    <w:p w14:paraId="3FB16D69" w14:textId="77777777" w:rsidR="00C41748" w:rsidRPr="002B0A44" w:rsidRDefault="00C41748" w:rsidP="00C41748">
      <w:pPr>
        <w:pStyle w:val="ListParagraph"/>
        <w:numPr>
          <w:ilvl w:val="0"/>
          <w:numId w:val="2"/>
        </w:numPr>
        <w:rPr>
          <w:b/>
        </w:rPr>
      </w:pPr>
      <w:r>
        <w:rPr>
          <w:lang w:val="en"/>
        </w:rPr>
        <w:t>Among other things, the law set limits on the amount of money an individual could contribute to a single campaign and it required reporting of contributions above a certain threshold amount</w:t>
      </w:r>
      <w:r w:rsidR="002B0A44">
        <w:rPr>
          <w:lang w:val="en"/>
        </w:rPr>
        <w:t xml:space="preserve"> (Harrison et al. 289)</w:t>
      </w:r>
      <w:r>
        <w:rPr>
          <w:lang w:val="en"/>
        </w:rPr>
        <w:t xml:space="preserve">. </w:t>
      </w:r>
    </w:p>
    <w:p w14:paraId="14BF3BA6" w14:textId="77777777" w:rsidR="002B0A44" w:rsidRPr="002B0A44" w:rsidRDefault="002B0A44" w:rsidP="00C41748">
      <w:pPr>
        <w:pStyle w:val="ListParagraph"/>
        <w:numPr>
          <w:ilvl w:val="0"/>
          <w:numId w:val="2"/>
        </w:numPr>
        <w:rPr>
          <w:b/>
        </w:rPr>
      </w:pPr>
      <w:r w:rsidRPr="002B0A44">
        <w:rPr>
          <w:u w:val="single"/>
          <w:lang w:val="en"/>
        </w:rPr>
        <w:t>1979 FECA amendments</w:t>
      </w:r>
      <w:r>
        <w:rPr>
          <w:lang w:val="en"/>
        </w:rPr>
        <w:t xml:space="preserve"> created soft money, or money that can be directly donated to political parties for “party-related” activities.  </w:t>
      </w:r>
    </w:p>
    <w:p w14:paraId="0760155E" w14:textId="77777777" w:rsidR="002B0A44" w:rsidRDefault="002B0A44" w:rsidP="002B0A44">
      <w:pPr>
        <w:ind w:left="360"/>
        <w:rPr>
          <w:b/>
        </w:rPr>
      </w:pPr>
      <w:r>
        <w:rPr>
          <w:b/>
        </w:rPr>
        <w:t xml:space="preserve">2002 Bipartisan Campaign Finance Reform Act </w:t>
      </w:r>
    </w:p>
    <w:p w14:paraId="0C206442" w14:textId="77777777" w:rsidR="002B0A44" w:rsidRPr="002B0A44" w:rsidRDefault="002B0A44" w:rsidP="002B0A44">
      <w:pPr>
        <w:pStyle w:val="ListParagraph"/>
        <w:numPr>
          <w:ilvl w:val="0"/>
          <w:numId w:val="10"/>
        </w:numPr>
      </w:pPr>
      <w:r w:rsidRPr="002B0A44">
        <w:t>Also known as “McCain-Feingold.”</w:t>
      </w:r>
    </w:p>
    <w:p w14:paraId="51B2F8CA" w14:textId="77777777" w:rsidR="002B0A44" w:rsidRPr="002B0A44" w:rsidRDefault="002B0A44" w:rsidP="002B0A44">
      <w:pPr>
        <w:pStyle w:val="ListParagraph"/>
        <w:numPr>
          <w:ilvl w:val="0"/>
          <w:numId w:val="10"/>
        </w:numPr>
      </w:pPr>
      <w:r w:rsidRPr="002B0A44">
        <w:t xml:space="preserve">Prohibited “soft money” </w:t>
      </w:r>
      <w:r w:rsidR="0066244A">
        <w:t xml:space="preserve">established </w:t>
      </w:r>
      <w:r w:rsidRPr="002B0A44">
        <w:t xml:space="preserve">from 1979 FECA amendments. </w:t>
      </w:r>
    </w:p>
    <w:p w14:paraId="59FF3BCB" w14:textId="77777777" w:rsidR="002B0A44" w:rsidRDefault="002B0A44" w:rsidP="002B0A44">
      <w:pPr>
        <w:pStyle w:val="ListParagraph"/>
        <w:numPr>
          <w:ilvl w:val="0"/>
          <w:numId w:val="10"/>
        </w:numPr>
      </w:pPr>
      <w:r w:rsidRPr="002B0A44">
        <w:t>Prohibited direct campaign</w:t>
      </w:r>
      <w:r>
        <w:t>-</w:t>
      </w:r>
      <w:r w:rsidRPr="002B0A44">
        <w:t xml:space="preserve"> related advertisement spending from corporations</w:t>
      </w:r>
      <w:r w:rsidR="007566C0">
        <w:t xml:space="preserve"> (Geraci)</w:t>
      </w:r>
      <w:r w:rsidRPr="002B0A44">
        <w:t xml:space="preserve">. </w:t>
      </w:r>
    </w:p>
    <w:p w14:paraId="2FA5AF7E" w14:textId="77777777" w:rsidR="002B0A44" w:rsidRPr="002B0A44" w:rsidRDefault="002B0A44" w:rsidP="002B0A44">
      <w:pPr>
        <w:pStyle w:val="ListParagraph"/>
        <w:numPr>
          <w:ilvl w:val="0"/>
          <w:numId w:val="10"/>
        </w:numPr>
      </w:pPr>
      <w:r>
        <w:t xml:space="preserve">Set legal stage for </w:t>
      </w:r>
      <w:r w:rsidRPr="002B0A44">
        <w:rPr>
          <w:i/>
        </w:rPr>
        <w:t>Citizens United</w:t>
      </w:r>
      <w:r>
        <w:t xml:space="preserve"> and </w:t>
      </w:r>
      <w:proofErr w:type="spellStart"/>
      <w:r w:rsidRPr="002B0A44">
        <w:rPr>
          <w:i/>
        </w:rPr>
        <w:t>SpeechNow</w:t>
      </w:r>
      <w:proofErr w:type="spellEnd"/>
      <w:r>
        <w:t xml:space="preserve">, which overturned </w:t>
      </w:r>
      <w:r w:rsidR="007566C0">
        <w:t xml:space="preserve">many of the provisions of McCain-Feingold. </w:t>
      </w:r>
      <w:r>
        <w:t xml:space="preserve"> </w:t>
      </w:r>
    </w:p>
    <w:p w14:paraId="024A38F6" w14:textId="77777777" w:rsidR="00C41748" w:rsidRPr="00B93DBE" w:rsidRDefault="007566C0" w:rsidP="00B93DBE">
      <w:pPr>
        <w:jc w:val="center"/>
        <w:rPr>
          <w:b/>
          <w:u w:val="single"/>
        </w:rPr>
      </w:pPr>
      <w:r w:rsidRPr="00B93DBE">
        <w:rPr>
          <w:b/>
          <w:u w:val="single"/>
        </w:rPr>
        <w:t>Supreme Court Cases</w:t>
      </w:r>
    </w:p>
    <w:p w14:paraId="7477F414" w14:textId="77777777" w:rsidR="00C41748" w:rsidRDefault="00C41748" w:rsidP="00C41748">
      <w:pPr>
        <w:rPr>
          <w:b/>
        </w:rPr>
      </w:pPr>
      <w:r w:rsidRPr="0071772F">
        <w:rPr>
          <w:b/>
          <w:i/>
        </w:rPr>
        <w:t xml:space="preserve">Buckley v. </w:t>
      </w:r>
      <w:proofErr w:type="spellStart"/>
      <w:r w:rsidRPr="0071772F">
        <w:rPr>
          <w:b/>
          <w:i/>
        </w:rPr>
        <w:t>Valeo</w:t>
      </w:r>
      <w:proofErr w:type="spellEnd"/>
      <w:r>
        <w:rPr>
          <w:b/>
        </w:rPr>
        <w:t xml:space="preserve"> (1976)</w:t>
      </w:r>
    </w:p>
    <w:p w14:paraId="38DBA4BF" w14:textId="77777777" w:rsidR="007566C0" w:rsidRPr="004C598A" w:rsidRDefault="003A2D53" w:rsidP="00C41748">
      <w:pPr>
        <w:pStyle w:val="ListParagraph"/>
        <w:numPr>
          <w:ilvl w:val="0"/>
          <w:numId w:val="1"/>
        </w:numPr>
      </w:pPr>
      <w:r w:rsidRPr="004C598A">
        <w:rPr>
          <w:lang w:val="en"/>
        </w:rPr>
        <w:t xml:space="preserve">An 8-1 plurality of the Court upheld the reporting requirements of FECA as constitutional. </w:t>
      </w:r>
    </w:p>
    <w:p w14:paraId="5D4BF925" w14:textId="77777777" w:rsidR="00C41748" w:rsidRDefault="00C41748" w:rsidP="00C41748">
      <w:pPr>
        <w:pStyle w:val="ListParagraph"/>
        <w:numPr>
          <w:ilvl w:val="0"/>
          <w:numId w:val="1"/>
        </w:numPr>
        <w:rPr>
          <w:b/>
        </w:rPr>
      </w:pPr>
      <w:r w:rsidRPr="0071772F">
        <w:t>Also ruled that any restriction on an individual’s ability to use his/her funds for campaign purposes violated the First Amendment.</w:t>
      </w:r>
      <w:r w:rsidRPr="0071772F">
        <w:rPr>
          <w:b/>
        </w:rPr>
        <w:t xml:space="preserve"> </w:t>
      </w:r>
    </w:p>
    <w:p w14:paraId="46A1DE67" w14:textId="77777777" w:rsidR="007566C0" w:rsidRPr="007566C0" w:rsidRDefault="007566C0" w:rsidP="00C41748">
      <w:pPr>
        <w:pStyle w:val="ListParagraph"/>
        <w:numPr>
          <w:ilvl w:val="0"/>
          <w:numId w:val="1"/>
        </w:numPr>
      </w:pPr>
      <w:r>
        <w:t xml:space="preserve">Essentially, </w:t>
      </w:r>
      <w:r w:rsidRPr="007566C0">
        <w:t>Money=Speech</w:t>
      </w:r>
    </w:p>
    <w:p w14:paraId="4ADDE6B7" w14:textId="77777777" w:rsidR="007566C0" w:rsidRDefault="007566C0" w:rsidP="00C41748">
      <w:pPr>
        <w:rPr>
          <w:b/>
          <w:i/>
          <w:lang w:val="en"/>
        </w:rPr>
      </w:pPr>
    </w:p>
    <w:p w14:paraId="3DE8D764" w14:textId="77777777" w:rsidR="00C41748" w:rsidRDefault="003A2D53" w:rsidP="00C41748">
      <w:pPr>
        <w:rPr>
          <w:b/>
          <w:i/>
          <w:lang w:val="en"/>
        </w:rPr>
      </w:pPr>
      <w:r>
        <w:rPr>
          <w:b/>
          <w:i/>
          <w:lang w:val="en"/>
        </w:rPr>
        <w:t>Citizen</w:t>
      </w:r>
      <w:r w:rsidR="00C41748" w:rsidRPr="0071772F">
        <w:rPr>
          <w:b/>
          <w:i/>
          <w:lang w:val="en"/>
        </w:rPr>
        <w:t xml:space="preserve">s United v. FEC </w:t>
      </w:r>
      <w:r w:rsidR="00C41748" w:rsidRPr="0071772F">
        <w:rPr>
          <w:b/>
          <w:lang w:val="en"/>
        </w:rPr>
        <w:t>(2010)</w:t>
      </w:r>
    </w:p>
    <w:p w14:paraId="289BFA29" w14:textId="77777777" w:rsidR="003A2D53" w:rsidRPr="003A2D53" w:rsidRDefault="003A2D53" w:rsidP="00C41748">
      <w:pPr>
        <w:pStyle w:val="NormalWeb"/>
        <w:numPr>
          <w:ilvl w:val="0"/>
          <w:numId w:val="4"/>
        </w:numPr>
        <w:rPr>
          <w:lang w:val="en"/>
        </w:rPr>
      </w:pPr>
      <w:r>
        <w:t xml:space="preserve">The Court, in a 5-4 plurality decision, ruled that corporations and labor unions may spend their own money to support or oppose political candidates through independent communications like television advertisements. </w:t>
      </w:r>
    </w:p>
    <w:p w14:paraId="02D8C0C7" w14:textId="77777777" w:rsidR="003A2D53" w:rsidRPr="003A2D53" w:rsidRDefault="003A2D53" w:rsidP="003A2D53">
      <w:pPr>
        <w:pStyle w:val="NormalWeb"/>
        <w:numPr>
          <w:ilvl w:val="0"/>
          <w:numId w:val="4"/>
        </w:numPr>
        <w:rPr>
          <w:lang w:val="en"/>
        </w:rPr>
      </w:pPr>
      <w:r>
        <w:t>The decision did not remove prohibitions on corporate contributions to candidates, and it did not address whether the government could regulate contributions to groups that make independent expenditures (Liptak).</w:t>
      </w:r>
    </w:p>
    <w:p w14:paraId="50684984" w14:textId="77777777" w:rsidR="00942EA7" w:rsidRPr="004C598A" w:rsidRDefault="00C41748" w:rsidP="003A2D53">
      <w:pPr>
        <w:pStyle w:val="NormalWeb"/>
        <w:numPr>
          <w:ilvl w:val="0"/>
          <w:numId w:val="4"/>
        </w:numPr>
        <w:rPr>
          <w:lang w:val="en"/>
        </w:rPr>
      </w:pPr>
      <w:r w:rsidRPr="003A2D53">
        <w:rPr>
          <w:lang w:val="en"/>
        </w:rPr>
        <w:t xml:space="preserve">The majority held that under the First Amendment corporate funding of independent political broadcasts in candidate elections cannot be limited. </w:t>
      </w:r>
    </w:p>
    <w:p w14:paraId="4BD921C6" w14:textId="77777777" w:rsidR="00942EA7" w:rsidRDefault="00942EA7" w:rsidP="003A2D53">
      <w:pPr>
        <w:pStyle w:val="NormalWeb"/>
        <w:rPr>
          <w:b/>
          <w:i/>
          <w:lang w:val="en"/>
        </w:rPr>
      </w:pPr>
    </w:p>
    <w:p w14:paraId="63F18B15" w14:textId="77777777" w:rsidR="003A2D53" w:rsidRPr="003A2D53" w:rsidRDefault="003A2D53" w:rsidP="003A2D53">
      <w:pPr>
        <w:pStyle w:val="NormalWeb"/>
        <w:rPr>
          <w:b/>
          <w:i/>
          <w:lang w:val="en"/>
        </w:rPr>
      </w:pPr>
      <w:r w:rsidRPr="003A2D53">
        <w:rPr>
          <w:b/>
          <w:i/>
          <w:lang w:val="en"/>
        </w:rPr>
        <w:t xml:space="preserve">Speechnow.org v. FEC (2012) </w:t>
      </w:r>
    </w:p>
    <w:p w14:paraId="4471A2E2" w14:textId="77777777" w:rsidR="003A2D53" w:rsidRPr="003A2D53" w:rsidRDefault="003A2D53" w:rsidP="003A2D53">
      <w:pPr>
        <w:pStyle w:val="NormalWeb"/>
        <w:numPr>
          <w:ilvl w:val="0"/>
          <w:numId w:val="11"/>
        </w:numPr>
        <w:rPr>
          <w:lang w:val="en"/>
        </w:rPr>
      </w:pPr>
      <w:r>
        <w:t xml:space="preserve">A federal appeals court found that individuals who want to associate with one another to fund political speech cannot have their contributions limited by government. </w:t>
      </w:r>
    </w:p>
    <w:p w14:paraId="5682946A" w14:textId="77777777" w:rsidR="003A2D53" w:rsidRPr="003A2D53" w:rsidRDefault="003A2D53" w:rsidP="003A2D53">
      <w:pPr>
        <w:pStyle w:val="NormalWeb"/>
        <w:numPr>
          <w:ilvl w:val="0"/>
          <w:numId w:val="11"/>
        </w:numPr>
        <w:rPr>
          <w:lang w:val="en"/>
        </w:rPr>
      </w:pPr>
      <w:r>
        <w:t xml:space="preserve">Individuals can give what they want to an independent group and spend what they want on speech (Samples). </w:t>
      </w:r>
    </w:p>
    <w:p w14:paraId="6A8477F4" w14:textId="77777777" w:rsidR="00B93DBE" w:rsidRPr="00B93DBE" w:rsidRDefault="003A2D53" w:rsidP="00C41748">
      <w:pPr>
        <w:pStyle w:val="NormalWeb"/>
        <w:numPr>
          <w:ilvl w:val="0"/>
          <w:numId w:val="11"/>
        </w:numPr>
        <w:rPr>
          <w:lang w:val="en"/>
        </w:rPr>
      </w:pPr>
      <w:r>
        <w:rPr>
          <w:lang w:val="en"/>
        </w:rPr>
        <w:t xml:space="preserve">Combined with </w:t>
      </w:r>
      <w:r w:rsidRPr="003A2D53">
        <w:rPr>
          <w:i/>
          <w:lang w:val="en"/>
        </w:rPr>
        <w:t>Citizens United</w:t>
      </w:r>
      <w:r>
        <w:rPr>
          <w:lang w:val="en"/>
        </w:rPr>
        <w:t xml:space="preserve">, the Super-Pac was born. </w:t>
      </w:r>
    </w:p>
    <w:p w14:paraId="76FAB67C" w14:textId="77777777" w:rsidR="00C41748" w:rsidRPr="00B93DBE" w:rsidRDefault="00C41748" w:rsidP="00B93DBE">
      <w:pPr>
        <w:pStyle w:val="NormalWeb"/>
        <w:rPr>
          <w:lang w:val="en"/>
        </w:rPr>
      </w:pPr>
      <w:r w:rsidRPr="00B93DBE">
        <w:rPr>
          <w:b/>
          <w:i/>
        </w:rPr>
        <w:t>McCutcheon v. FEC</w:t>
      </w:r>
      <w:r w:rsidRPr="00B93DBE">
        <w:rPr>
          <w:b/>
        </w:rPr>
        <w:t xml:space="preserve"> (2013) </w:t>
      </w:r>
    </w:p>
    <w:p w14:paraId="0B37B401" w14:textId="77777777" w:rsidR="003A2D53" w:rsidRPr="003A2D53" w:rsidRDefault="003A2D53" w:rsidP="003A2D53">
      <w:pPr>
        <w:pStyle w:val="ListParagraph"/>
        <w:numPr>
          <w:ilvl w:val="0"/>
          <w:numId w:val="7"/>
        </w:numPr>
        <w:rPr>
          <w:b/>
        </w:rPr>
      </w:pPr>
      <w:r>
        <w:rPr>
          <w:lang w:val="en"/>
        </w:rPr>
        <w:t xml:space="preserve">The Court ruled in a 5-4 plurality decision against the two-year aggregate campaign contribution limit. </w:t>
      </w:r>
    </w:p>
    <w:p w14:paraId="73012EB3" w14:textId="77777777" w:rsidR="00B93DBE" w:rsidRPr="003A2D53" w:rsidRDefault="00B93DBE" w:rsidP="00B93DBE">
      <w:pPr>
        <w:pStyle w:val="ListParagraph"/>
        <w:numPr>
          <w:ilvl w:val="0"/>
          <w:numId w:val="7"/>
        </w:numPr>
      </w:pPr>
      <w:r w:rsidRPr="003A2D53">
        <w:t xml:space="preserve">The Court held that the aggregate contribution limit was not sufficiently tailored to combat corruption. </w:t>
      </w:r>
    </w:p>
    <w:p w14:paraId="0F698CE8" w14:textId="77777777" w:rsidR="003A2D53" w:rsidRPr="00B93DBE" w:rsidRDefault="003A2D53" w:rsidP="003A2D53">
      <w:pPr>
        <w:pStyle w:val="ListParagraph"/>
        <w:numPr>
          <w:ilvl w:val="0"/>
          <w:numId w:val="7"/>
        </w:numPr>
        <w:rPr>
          <w:b/>
        </w:rPr>
      </w:pPr>
      <w:r>
        <w:rPr>
          <w:lang w:val="en"/>
        </w:rPr>
        <w:t xml:space="preserve">It kept intact the individual contribution limits, however. </w:t>
      </w:r>
    </w:p>
    <w:p w14:paraId="5F4F47C4" w14:textId="77777777" w:rsidR="00B93DBE" w:rsidRPr="00B93DBE" w:rsidRDefault="00B93DBE" w:rsidP="00B93DBE">
      <w:pPr>
        <w:ind w:left="360"/>
        <w:jc w:val="center"/>
        <w:rPr>
          <w:b/>
          <w:u w:val="single"/>
        </w:rPr>
      </w:pPr>
      <w:r w:rsidRPr="00B93DBE">
        <w:rPr>
          <w:b/>
          <w:u w:val="single"/>
        </w:rPr>
        <w:t>Vehicles of Campaign Finance</w:t>
      </w:r>
    </w:p>
    <w:p w14:paraId="7F811FD6" w14:textId="77777777" w:rsidR="00C41748" w:rsidRDefault="00B93DBE" w:rsidP="00B93DBE">
      <w:pPr>
        <w:rPr>
          <w:b/>
        </w:rPr>
      </w:pPr>
      <w:r>
        <w:rPr>
          <w:b/>
        </w:rPr>
        <w:t xml:space="preserve">Political Action Committees (PACs) </w:t>
      </w:r>
    </w:p>
    <w:p w14:paraId="17AF5BB1" w14:textId="77777777" w:rsidR="00B93DBE" w:rsidRPr="00B93DBE" w:rsidRDefault="00B93DBE" w:rsidP="00B93DBE">
      <w:pPr>
        <w:pStyle w:val="ListParagraph"/>
        <w:numPr>
          <w:ilvl w:val="0"/>
          <w:numId w:val="12"/>
        </w:numPr>
      </w:pPr>
      <w:r w:rsidRPr="00B93DBE">
        <w:t xml:space="preserve">Emerged after the 1971 FECA. </w:t>
      </w:r>
    </w:p>
    <w:p w14:paraId="3D5D4E06" w14:textId="77777777" w:rsidR="00B93DBE" w:rsidRDefault="00B93DBE" w:rsidP="00B93DBE">
      <w:pPr>
        <w:pStyle w:val="ListParagraph"/>
        <w:numPr>
          <w:ilvl w:val="0"/>
          <w:numId w:val="12"/>
        </w:numPr>
      </w:pPr>
      <w:r w:rsidRPr="00B93DBE">
        <w:t xml:space="preserve">They are organizations that are created to solicit and distribute funds to political campaigns. </w:t>
      </w:r>
    </w:p>
    <w:p w14:paraId="3F8702EA" w14:textId="77777777" w:rsidR="00B93DBE" w:rsidRPr="00B93DBE" w:rsidRDefault="00B93DBE" w:rsidP="00B93DBE">
      <w:pPr>
        <w:pStyle w:val="ListParagraph"/>
        <w:numPr>
          <w:ilvl w:val="0"/>
          <w:numId w:val="12"/>
        </w:numPr>
      </w:pPr>
      <w:r>
        <w:t xml:space="preserve">Groups must register as PACs to contribute to a political campaign (Harrison et al. 237). </w:t>
      </w:r>
    </w:p>
    <w:p w14:paraId="39879078" w14:textId="77777777" w:rsidR="00B93DBE" w:rsidRPr="00B93DBE" w:rsidRDefault="00B93DBE" w:rsidP="00B93DBE">
      <w:pPr>
        <w:pStyle w:val="ListParagraph"/>
        <w:numPr>
          <w:ilvl w:val="0"/>
          <w:numId w:val="12"/>
        </w:numPr>
      </w:pPr>
      <w:r w:rsidRPr="00B93DBE">
        <w:t xml:space="preserve">There are </w:t>
      </w:r>
      <w:r>
        <w:t xml:space="preserve">strict </w:t>
      </w:r>
      <w:r w:rsidRPr="00B93DBE">
        <w:t xml:space="preserve">contribution limits and disclosure requirements. </w:t>
      </w:r>
    </w:p>
    <w:p w14:paraId="20BE0DAF" w14:textId="77777777" w:rsidR="00B93DBE" w:rsidRDefault="00B93DBE" w:rsidP="00B93DBE">
      <w:pPr>
        <w:rPr>
          <w:b/>
        </w:rPr>
      </w:pPr>
      <w:r>
        <w:rPr>
          <w:b/>
        </w:rPr>
        <w:t>Super-</w:t>
      </w:r>
      <w:proofErr w:type="spellStart"/>
      <w:r>
        <w:rPr>
          <w:b/>
        </w:rPr>
        <w:t>Pacs</w:t>
      </w:r>
      <w:proofErr w:type="spellEnd"/>
    </w:p>
    <w:p w14:paraId="361FADFE" w14:textId="77777777" w:rsidR="00B93DBE" w:rsidRPr="00C41748" w:rsidRDefault="00B93DBE" w:rsidP="00B93DBE">
      <w:pPr>
        <w:pStyle w:val="ListParagraph"/>
        <w:numPr>
          <w:ilvl w:val="0"/>
          <w:numId w:val="5"/>
        </w:numPr>
      </w:pPr>
      <w:r w:rsidRPr="00C41748">
        <w:t xml:space="preserve">Originate from </w:t>
      </w:r>
      <w:r w:rsidR="007B1145">
        <w:rPr>
          <w:i/>
        </w:rPr>
        <w:t>Citizen</w:t>
      </w:r>
      <w:r w:rsidRPr="00C41748">
        <w:rPr>
          <w:i/>
        </w:rPr>
        <w:t>s United v. FEC</w:t>
      </w:r>
      <w:r w:rsidRPr="00C41748">
        <w:t xml:space="preserve"> (2010)</w:t>
      </w:r>
      <w:r w:rsidR="00D94043">
        <w:t>.</w:t>
      </w:r>
      <w:r w:rsidRPr="00C41748">
        <w:t xml:space="preserve"> </w:t>
      </w:r>
    </w:p>
    <w:p w14:paraId="7862C4AF" w14:textId="77777777" w:rsidR="00B93DBE" w:rsidRPr="004C598A" w:rsidRDefault="00B93DBE" w:rsidP="004C598A">
      <w:pPr>
        <w:pStyle w:val="ListParagraph"/>
        <w:numPr>
          <w:ilvl w:val="0"/>
          <w:numId w:val="5"/>
        </w:numPr>
        <w:spacing w:line="240" w:lineRule="auto"/>
      </w:pPr>
      <w:r w:rsidRPr="004C598A">
        <w:lastRenderedPageBreak/>
        <w:t>Also known as “independent-expenditure committees.”</w:t>
      </w:r>
    </w:p>
    <w:p w14:paraId="00205E7F" w14:textId="77777777" w:rsidR="004C598A" w:rsidRPr="004C598A" w:rsidRDefault="00B93DBE" w:rsidP="004C598A">
      <w:pPr>
        <w:pStyle w:val="ListParagraph"/>
        <w:numPr>
          <w:ilvl w:val="0"/>
          <w:numId w:val="5"/>
        </w:numPr>
        <w:spacing w:line="240" w:lineRule="auto"/>
      </w:pPr>
      <w:r w:rsidRPr="004C598A">
        <w:rPr>
          <w:rFonts w:ascii="Georgia" w:hAnsi="Georgia"/>
        </w:rPr>
        <w:t xml:space="preserve">Super PACs are prohibited from working with any candidates they're supporting. </w:t>
      </w:r>
      <w:r w:rsidR="004C598A">
        <w:br/>
      </w:r>
    </w:p>
    <w:p w14:paraId="74D5D76B" w14:textId="77777777" w:rsidR="007566C0" w:rsidRDefault="007566C0" w:rsidP="005B1D98">
      <w:pPr>
        <w:rPr>
          <w:b/>
        </w:rPr>
      </w:pPr>
      <w:r>
        <w:rPr>
          <w:b/>
        </w:rPr>
        <w:t xml:space="preserve">Federal Funding </w:t>
      </w:r>
    </w:p>
    <w:p w14:paraId="4AB6274C" w14:textId="77777777" w:rsidR="004C598A" w:rsidRPr="004C598A" w:rsidRDefault="004C598A" w:rsidP="004C598A">
      <w:pPr>
        <w:pStyle w:val="ListParagraph"/>
        <w:numPr>
          <w:ilvl w:val="0"/>
          <w:numId w:val="13"/>
        </w:numPr>
      </w:pPr>
      <w:r w:rsidRPr="004C598A">
        <w:t xml:space="preserve">Created by 1971 FECA. </w:t>
      </w:r>
    </w:p>
    <w:p w14:paraId="490E6766" w14:textId="77777777" w:rsidR="004C598A" w:rsidRPr="004C598A" w:rsidRDefault="004C598A" w:rsidP="004C598A">
      <w:pPr>
        <w:pStyle w:val="ListParagraph"/>
        <w:numPr>
          <w:ilvl w:val="0"/>
          <w:numId w:val="13"/>
        </w:numPr>
      </w:pPr>
      <w:r w:rsidRPr="004C598A">
        <w:t xml:space="preserve">Currently, candidates can qualify for federal funds once they raise $5,000 in no greater than $250 increments in each of 20 states. </w:t>
      </w:r>
    </w:p>
    <w:p w14:paraId="48A19742" w14:textId="77777777" w:rsidR="004C598A" w:rsidRPr="004C598A" w:rsidRDefault="004C598A" w:rsidP="004C598A">
      <w:pPr>
        <w:pStyle w:val="ListParagraph"/>
        <w:numPr>
          <w:ilvl w:val="0"/>
          <w:numId w:val="13"/>
        </w:numPr>
      </w:pPr>
      <w:r w:rsidRPr="004C598A">
        <w:t>Funds come from $3 check-off boxes on income taxes</w:t>
      </w:r>
      <w:r w:rsidR="003368DC">
        <w:t xml:space="preserve"> (fec.gov)</w:t>
      </w:r>
      <w:r w:rsidRPr="004C598A">
        <w:t xml:space="preserve">. </w:t>
      </w:r>
    </w:p>
    <w:p w14:paraId="7A34ABB2" w14:textId="77777777" w:rsidR="004C598A" w:rsidRPr="004C598A" w:rsidRDefault="004C598A" w:rsidP="004C598A">
      <w:pPr>
        <w:pStyle w:val="ListParagraph"/>
        <w:numPr>
          <w:ilvl w:val="0"/>
          <w:numId w:val="13"/>
        </w:numPr>
      </w:pPr>
      <w:r w:rsidRPr="004C598A">
        <w:t xml:space="preserve">Federal limits are imposed once funding is accepted by candidates. </w:t>
      </w:r>
    </w:p>
    <w:p w14:paraId="51ABBB02" w14:textId="77777777" w:rsidR="00942EA7" w:rsidRDefault="00942EA7">
      <w:pPr>
        <w:rPr>
          <w:b/>
        </w:rPr>
      </w:pPr>
    </w:p>
    <w:p w14:paraId="44321292" w14:textId="77777777" w:rsidR="0044587C" w:rsidRPr="005B1D98" w:rsidRDefault="00B93DBE">
      <w:pPr>
        <w:rPr>
          <w:b/>
        </w:rPr>
      </w:pPr>
      <w:r w:rsidRPr="005B1D98">
        <w:rPr>
          <w:b/>
        </w:rPr>
        <w:t xml:space="preserve">Sources </w:t>
      </w:r>
    </w:p>
    <w:p w14:paraId="4FFF3285" w14:textId="77777777" w:rsidR="00587D28" w:rsidRDefault="000152C9">
      <w:proofErr w:type="spellStart"/>
      <w:r>
        <w:t>Berr</w:t>
      </w:r>
      <w:proofErr w:type="spellEnd"/>
      <w:r>
        <w:t>, Jonathan</w:t>
      </w:r>
      <w:r w:rsidR="00587D28">
        <w:t xml:space="preserve">. “Election 2016’s Price Tag: $6.8 Billion.” </w:t>
      </w:r>
      <w:proofErr w:type="spellStart"/>
      <w:r w:rsidR="00587D28">
        <w:rPr>
          <w:i/>
          <w:iCs/>
        </w:rPr>
        <w:t>CBSNews</w:t>
      </w:r>
      <w:proofErr w:type="spellEnd"/>
      <w:r w:rsidR="00587D28">
        <w:rPr>
          <w:i/>
          <w:iCs/>
        </w:rPr>
        <w:t xml:space="preserve">: </w:t>
      </w:r>
      <w:proofErr w:type="spellStart"/>
      <w:r w:rsidR="00587D28">
        <w:rPr>
          <w:i/>
          <w:iCs/>
        </w:rPr>
        <w:t>Moneywatch</w:t>
      </w:r>
      <w:proofErr w:type="spellEnd"/>
      <w:r w:rsidR="00587D28">
        <w:rPr>
          <w:i/>
          <w:iCs/>
        </w:rPr>
        <w:t xml:space="preserve"> </w:t>
      </w:r>
      <w:r w:rsidR="00587D28">
        <w:t xml:space="preserve">8 Nov. 2016. </w:t>
      </w:r>
      <w:r w:rsidR="00587D28">
        <w:rPr>
          <w:i/>
          <w:iCs/>
        </w:rPr>
        <w:t>http://www.cbsnews.com/news/election-2016s-price-tag-6-8-billion/</w:t>
      </w:r>
      <w:r w:rsidR="00587D28">
        <w:t>. Web. 20 June 2017.</w:t>
      </w:r>
    </w:p>
    <w:p w14:paraId="0C41FD19" w14:textId="77777777" w:rsidR="005B1D98" w:rsidRDefault="005B1D98">
      <w:r>
        <w:t xml:space="preserve">"Citizens United v. Federal Election Commission." </w:t>
      </w:r>
      <w:r>
        <w:rPr>
          <w:i/>
          <w:iCs/>
        </w:rPr>
        <w:t>Oyez,</w:t>
      </w:r>
      <w:r>
        <w:t xml:space="preserve"> https://www.oyez.org/cases/2008/08-205. Accessed 20 Jun. 2017.</w:t>
      </w:r>
    </w:p>
    <w:p w14:paraId="5A976752" w14:textId="77777777" w:rsidR="005B1D98" w:rsidRDefault="005B1D98">
      <w:r>
        <w:t xml:space="preserve">Geraci, Victor W. “Campaign Finance  Reform Historical Timeline.” </w:t>
      </w:r>
      <w:r>
        <w:rPr>
          <w:i/>
          <w:iCs/>
        </w:rPr>
        <w:t>Central Connecticut State University</w:t>
      </w:r>
      <w:r>
        <w:t xml:space="preserve">. </w:t>
      </w:r>
      <w:proofErr w:type="spellStart"/>
      <w:r>
        <w:t>N.p.</w:t>
      </w:r>
      <w:proofErr w:type="spellEnd"/>
      <w:r>
        <w:t>, 2012. Web. 20 June 2017.</w:t>
      </w:r>
    </w:p>
    <w:p w14:paraId="7D639A50" w14:textId="77777777" w:rsidR="007B1145" w:rsidRDefault="007B1145">
      <w:r>
        <w:t xml:space="preserve">Harrison, Brigid C., Jean W. Harris, and Michelle D. Deardorff. "Types of Government." </w:t>
      </w:r>
      <w:r>
        <w:rPr>
          <w:i/>
          <w:iCs/>
        </w:rPr>
        <w:t>American Democracy Now, Fourth Edition.</w:t>
      </w:r>
      <w:r>
        <w:t xml:space="preserve"> New York: McGraw-Hill, 2015. 10. Print.</w:t>
      </w:r>
    </w:p>
    <w:p w14:paraId="7123F3FC" w14:textId="77777777" w:rsidR="000B580F" w:rsidRDefault="000B580F">
      <w:r>
        <w:t xml:space="preserve">“This Day in History: October 25, 1929—Cabinet Member Guilty in Teapot Dome Scandal.” </w:t>
      </w:r>
      <w:r>
        <w:rPr>
          <w:i/>
          <w:iCs/>
        </w:rPr>
        <w:t>History.com</w:t>
      </w:r>
      <w:r>
        <w:t xml:space="preserve">. </w:t>
      </w:r>
      <w:proofErr w:type="spellStart"/>
      <w:r>
        <w:t>N.p.</w:t>
      </w:r>
      <w:proofErr w:type="spellEnd"/>
      <w:r>
        <w:t>, 2017. Web. 20 June 2017.</w:t>
      </w:r>
    </w:p>
    <w:p w14:paraId="0B53ED61" w14:textId="77777777" w:rsidR="007B1145" w:rsidRDefault="007B1145">
      <w:proofErr w:type="spellStart"/>
      <w:r>
        <w:t>Kernell</w:t>
      </w:r>
      <w:proofErr w:type="spellEnd"/>
      <w:r>
        <w:t xml:space="preserve">, Samuel, Gary  C Jacobson, and Thad </w:t>
      </w:r>
      <w:proofErr w:type="spellStart"/>
      <w:r>
        <w:t>Kousser</w:t>
      </w:r>
      <w:proofErr w:type="spellEnd"/>
      <w:r>
        <w:t xml:space="preserve">. “Voting, Campaigns, and Elections .” </w:t>
      </w:r>
      <w:r>
        <w:rPr>
          <w:i/>
          <w:iCs/>
        </w:rPr>
        <w:t>The Logic of American Politics, 5th Edition</w:t>
      </w:r>
      <w:r>
        <w:t>. Washington, DC: CQ Press, 2012. 486–532. Print.</w:t>
      </w:r>
    </w:p>
    <w:p w14:paraId="2DC66C32" w14:textId="77777777" w:rsidR="00B93DBE" w:rsidRDefault="00B93DBE">
      <w:r>
        <w:t xml:space="preserve">Liptak, Adam. “Courts Take On Campaign Finance Decision.” </w:t>
      </w:r>
      <w:r>
        <w:rPr>
          <w:i/>
          <w:iCs/>
        </w:rPr>
        <w:t xml:space="preserve">The New York Times </w:t>
      </w:r>
      <w:r>
        <w:t xml:space="preserve">26 Mar. 2010. </w:t>
      </w:r>
      <w:r w:rsidRPr="00B93DBE">
        <w:rPr>
          <w:i/>
          <w:iCs/>
        </w:rPr>
        <w:t>http://www.nytimes.com/2010/03/27/us/politics/27campaign.html</w:t>
      </w:r>
      <w:r w:rsidRPr="00B93DBE">
        <w:t>. Web. 20 June 2017</w:t>
      </w:r>
      <w:r>
        <w:t>.</w:t>
      </w:r>
    </w:p>
    <w:p w14:paraId="3031785B" w14:textId="77777777" w:rsidR="003368DC" w:rsidRDefault="003368DC">
      <w:r>
        <w:t xml:space="preserve">“Public Funding of Presidential Elections.” </w:t>
      </w:r>
      <w:r>
        <w:rPr>
          <w:i/>
          <w:iCs/>
        </w:rPr>
        <w:t xml:space="preserve">Federal Election Commission </w:t>
      </w:r>
      <w:r>
        <w:t xml:space="preserve">. </w:t>
      </w:r>
      <w:proofErr w:type="spellStart"/>
      <w:r>
        <w:t>N.p.</w:t>
      </w:r>
      <w:proofErr w:type="spellEnd"/>
      <w:r>
        <w:t>, 2016. Web. 21 June 2017.</w:t>
      </w:r>
    </w:p>
    <w:p w14:paraId="74E30BC1" w14:textId="77777777" w:rsidR="00B93DBE" w:rsidRDefault="00B93DBE">
      <w:r>
        <w:t>Samples, John. “</w:t>
      </w:r>
      <w:proofErr w:type="spellStart"/>
      <w:r>
        <w:t>SpeechNow</w:t>
      </w:r>
      <w:proofErr w:type="spellEnd"/>
      <w:r>
        <w:t xml:space="preserve">, the Decision That Made a Difference.” </w:t>
      </w:r>
      <w:r>
        <w:rPr>
          <w:i/>
          <w:iCs/>
        </w:rPr>
        <w:t>CATO Institute</w:t>
      </w:r>
      <w:r>
        <w:t xml:space="preserve">. </w:t>
      </w:r>
      <w:proofErr w:type="spellStart"/>
      <w:r>
        <w:t>N.p.</w:t>
      </w:r>
      <w:proofErr w:type="spellEnd"/>
      <w:r>
        <w:t>, 20 Jan. 2012. Web. 20 June 2017.</w:t>
      </w:r>
    </w:p>
    <w:p w14:paraId="4546DD01" w14:textId="77777777" w:rsidR="00B93DBE" w:rsidRDefault="00B93DBE"/>
    <w:sectPr w:rsidR="00B93DB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48195" w14:textId="77777777" w:rsidR="00604B09" w:rsidRDefault="00604B09" w:rsidP="00C41748">
      <w:pPr>
        <w:spacing w:after="0" w:line="240" w:lineRule="auto"/>
      </w:pPr>
      <w:r>
        <w:separator/>
      </w:r>
    </w:p>
  </w:endnote>
  <w:endnote w:type="continuationSeparator" w:id="0">
    <w:p w14:paraId="6EAC3307" w14:textId="77777777" w:rsidR="00604B09" w:rsidRDefault="00604B09" w:rsidP="00C4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FD7A2" w14:textId="77777777" w:rsidR="005B1D98" w:rsidRDefault="005B1D98" w:rsidP="005B1D98">
    <w:pPr>
      <w:pStyle w:val="Footer"/>
    </w:pPr>
    <w:r>
      <w:t xml:space="preserve">Z. </w:t>
    </w:r>
    <w:proofErr w:type="spellStart"/>
    <w:r>
      <w:t>Wilhide</w:t>
    </w:r>
    <w:proofErr w:type="spellEnd"/>
    <w:r>
      <w:t xml:space="preserve">, M.A.  </w:t>
    </w:r>
    <w:r>
      <w:tab/>
    </w:r>
    <w:r>
      <w:tab/>
      <w:t>2017</w:t>
    </w:r>
    <w:r>
      <w:tab/>
    </w:r>
    <w:r>
      <w:tab/>
    </w:r>
    <w:r>
      <w:tab/>
    </w:r>
    <w:r>
      <w:tab/>
    </w:r>
  </w:p>
  <w:p w14:paraId="009029F0" w14:textId="77777777" w:rsidR="005B1D98" w:rsidRDefault="005B1D98" w:rsidP="005B1D98">
    <w:pPr>
      <w:pStyle w:val="Footer"/>
    </w:pPr>
    <w:r>
      <w:t>CC-BY</w:t>
    </w:r>
  </w:p>
  <w:p w14:paraId="35A585A0" w14:textId="77777777" w:rsidR="005B1D98" w:rsidRDefault="005B1D98">
    <w:pPr>
      <w:pStyle w:val="Footer"/>
    </w:pPr>
  </w:p>
  <w:p w14:paraId="2A040FC3" w14:textId="77777777" w:rsidR="005B1D98" w:rsidRDefault="005B1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0FBC1" w14:textId="77777777" w:rsidR="00604B09" w:rsidRDefault="00604B09" w:rsidP="00C41748">
      <w:pPr>
        <w:spacing w:after="0" w:line="240" w:lineRule="auto"/>
      </w:pPr>
      <w:r>
        <w:separator/>
      </w:r>
    </w:p>
  </w:footnote>
  <w:footnote w:type="continuationSeparator" w:id="0">
    <w:p w14:paraId="67810979" w14:textId="77777777" w:rsidR="00604B09" w:rsidRDefault="00604B09" w:rsidP="00C41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0C712" w14:textId="77777777" w:rsidR="00C41748" w:rsidRPr="00C41748" w:rsidRDefault="002B0A44" w:rsidP="00C41748">
    <w:pPr>
      <w:pStyle w:val="Header"/>
      <w:jc w:val="center"/>
      <w:rPr>
        <w:i/>
      </w:rPr>
    </w:pPr>
    <w:r>
      <w:rPr>
        <w:i/>
      </w:rPr>
      <w:t xml:space="preserve">Major American </w:t>
    </w:r>
    <w:r w:rsidR="00C41748" w:rsidRPr="00C41748">
      <w:rPr>
        <w:i/>
      </w:rPr>
      <w:t>Campaign Finance Laws</w:t>
    </w:r>
  </w:p>
  <w:p w14:paraId="4F81DDD2" w14:textId="77777777" w:rsidR="00C41748" w:rsidRDefault="00C417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6E40"/>
    <w:multiLevelType w:val="hybridMultilevel"/>
    <w:tmpl w:val="C3423C44"/>
    <w:lvl w:ilvl="0" w:tplc="890C01B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365DC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D665D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3433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BA6B1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2CF0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BEA6F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94CC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98E1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F816816"/>
    <w:multiLevelType w:val="hybridMultilevel"/>
    <w:tmpl w:val="CE321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67F19"/>
    <w:multiLevelType w:val="hybridMultilevel"/>
    <w:tmpl w:val="8730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0AE1"/>
    <w:multiLevelType w:val="hybridMultilevel"/>
    <w:tmpl w:val="0C38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F492F"/>
    <w:multiLevelType w:val="hybridMultilevel"/>
    <w:tmpl w:val="F992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C37AC"/>
    <w:multiLevelType w:val="hybridMultilevel"/>
    <w:tmpl w:val="1C288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787911"/>
    <w:multiLevelType w:val="hybridMultilevel"/>
    <w:tmpl w:val="917E2E7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37D46ED4"/>
    <w:multiLevelType w:val="hybridMultilevel"/>
    <w:tmpl w:val="77D0D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365DC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AD665D8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634335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EBA6B1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2CF06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BEA6F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94CC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98E18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3D867FA4"/>
    <w:multiLevelType w:val="hybridMultilevel"/>
    <w:tmpl w:val="BA30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32998"/>
    <w:multiLevelType w:val="hybridMultilevel"/>
    <w:tmpl w:val="BE346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66EF7"/>
    <w:multiLevelType w:val="hybridMultilevel"/>
    <w:tmpl w:val="B77A5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86865"/>
    <w:multiLevelType w:val="hybridMultilevel"/>
    <w:tmpl w:val="52AE4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27E35"/>
    <w:multiLevelType w:val="hybridMultilevel"/>
    <w:tmpl w:val="37B21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748"/>
    <w:rsid w:val="000152C9"/>
    <w:rsid w:val="000B580F"/>
    <w:rsid w:val="002B0A44"/>
    <w:rsid w:val="00311F1F"/>
    <w:rsid w:val="003368DC"/>
    <w:rsid w:val="003A2D53"/>
    <w:rsid w:val="0044587C"/>
    <w:rsid w:val="00484DF8"/>
    <w:rsid w:val="004C598A"/>
    <w:rsid w:val="00587D28"/>
    <w:rsid w:val="005B1D98"/>
    <w:rsid w:val="00604B09"/>
    <w:rsid w:val="0066244A"/>
    <w:rsid w:val="007566C0"/>
    <w:rsid w:val="007B1145"/>
    <w:rsid w:val="00801CAD"/>
    <w:rsid w:val="0086591C"/>
    <w:rsid w:val="00942EA7"/>
    <w:rsid w:val="0094650F"/>
    <w:rsid w:val="00A9751A"/>
    <w:rsid w:val="00B136FB"/>
    <w:rsid w:val="00B93DBE"/>
    <w:rsid w:val="00BD4A8A"/>
    <w:rsid w:val="00C41748"/>
    <w:rsid w:val="00C62C1E"/>
    <w:rsid w:val="00CF1BF7"/>
    <w:rsid w:val="00D94043"/>
    <w:rsid w:val="00F2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96D1"/>
  <w15:docId w15:val="{BCA6C3D1-B5A6-4706-AB77-A6AC0738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748"/>
    <w:rPr>
      <w:rFonts w:eastAsia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748"/>
  </w:style>
  <w:style w:type="paragraph" w:styleId="Footer">
    <w:name w:val="footer"/>
    <w:basedOn w:val="Normal"/>
    <w:link w:val="FooterChar"/>
    <w:uiPriority w:val="99"/>
    <w:unhideWhenUsed/>
    <w:rsid w:val="00C41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748"/>
  </w:style>
  <w:style w:type="paragraph" w:styleId="BalloonText">
    <w:name w:val="Balloon Text"/>
    <w:basedOn w:val="Normal"/>
    <w:link w:val="BalloonTextChar"/>
    <w:uiPriority w:val="99"/>
    <w:semiHidden/>
    <w:unhideWhenUsed/>
    <w:rsid w:val="00C4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74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1748"/>
    <w:rPr>
      <w:i/>
      <w:iCs/>
    </w:rPr>
  </w:style>
  <w:style w:type="paragraph" w:styleId="NormalWeb">
    <w:name w:val="Normal (Web)"/>
    <w:basedOn w:val="Normal"/>
    <w:uiPriority w:val="99"/>
    <w:unhideWhenUsed/>
    <w:rsid w:val="00C41748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B93D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 Wilhide</dc:creator>
  <cp:lastModifiedBy>Prince Koomson</cp:lastModifiedBy>
  <cp:revision>2</cp:revision>
  <dcterms:created xsi:type="dcterms:W3CDTF">2019-03-25T20:30:00Z</dcterms:created>
  <dcterms:modified xsi:type="dcterms:W3CDTF">2019-03-25T20:30:00Z</dcterms:modified>
</cp:coreProperties>
</file>