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DF" w:rsidRDefault="001740DF">
      <w:pPr>
        <w:pStyle w:val="APAHeader"/>
        <w:rPr>
          <w:rStyle w:val="PageNumber1"/>
        </w:rPr>
      </w:pPr>
      <w:bookmarkStart w:id="0" w:name="_GoBack"/>
      <w:bookmarkEnd w:id="0"/>
    </w:p>
    <w:p w:rsidR="001740DF" w:rsidRDefault="001740DF">
      <w:pPr>
        <w:pStyle w:val="APA"/>
      </w:pPr>
    </w:p>
    <w:p w:rsidR="001740DF" w:rsidRDefault="001740DF">
      <w:pPr>
        <w:pStyle w:val="APA"/>
      </w:pPr>
    </w:p>
    <w:p w:rsidR="001740DF" w:rsidRDefault="001740DF">
      <w:pPr>
        <w:pStyle w:val="APA"/>
      </w:pPr>
    </w:p>
    <w:p w:rsidR="001740DF" w:rsidRDefault="001740DF">
      <w:pPr>
        <w:pStyle w:val="APA"/>
        <w:rPr>
          <w:rFonts w:ascii="Arial" w:hAnsi="Arial" w:cs="Arial"/>
        </w:rPr>
      </w:pPr>
    </w:p>
    <w:p w:rsidR="001740DF" w:rsidRDefault="000F1D43">
      <w:pPr>
        <w:pStyle w:val="APAHeader"/>
        <w:rPr>
          <w:rFonts w:ascii="Arial" w:hAnsi="Arial" w:cs="Arial"/>
        </w:rPr>
      </w:pPr>
      <w:bookmarkStart w:id="1" w:name="bkMainUserName"/>
      <w:r>
        <w:rPr>
          <w:rFonts w:ascii="Arial" w:hAnsi="Arial" w:cs="Arial"/>
        </w:rPr>
        <w:t>Analyzing Amazon</w:t>
      </w:r>
    </w:p>
    <w:p w:rsidR="001740DF" w:rsidRDefault="000F1D43">
      <w:pPr>
        <w:pStyle w:val="APAHeader"/>
        <w:rPr>
          <w:rFonts w:ascii="Arial" w:hAnsi="Arial" w:cs="Arial"/>
        </w:rPr>
      </w:pPr>
      <w:r>
        <w:rPr>
          <w:rFonts w:ascii="Arial" w:hAnsi="Arial" w:cs="Arial"/>
        </w:rPr>
        <w:t>Adrean Porter</w:t>
      </w:r>
      <w:bookmarkEnd w:id="1"/>
    </w:p>
    <w:p w:rsidR="001740DF" w:rsidRDefault="000F1D43">
      <w:pPr>
        <w:pStyle w:val="APAHeader"/>
        <w:rPr>
          <w:rFonts w:ascii="Arial" w:hAnsi="Arial" w:cs="Arial"/>
        </w:rPr>
      </w:pPr>
      <w:bookmarkStart w:id="2" w:name="bkCourseNum"/>
      <w:r>
        <w:rPr>
          <w:rFonts w:ascii="Arial" w:hAnsi="Arial" w:cs="Arial"/>
        </w:rPr>
        <w:t>BUS/421</w:t>
      </w:r>
      <w:bookmarkEnd w:id="2"/>
    </w:p>
    <w:p w:rsidR="001740DF" w:rsidRDefault="000F1D43">
      <w:pPr>
        <w:pStyle w:val="APAHeader"/>
        <w:rPr>
          <w:rFonts w:ascii="Arial" w:hAnsi="Arial" w:cs="Arial"/>
        </w:rPr>
      </w:pPr>
      <w:bookmarkStart w:id="3" w:name="bkDueDate"/>
      <w:r>
        <w:rPr>
          <w:rFonts w:ascii="Arial" w:hAnsi="Arial" w:cs="Arial"/>
        </w:rPr>
        <w:t>February 20, 2017</w:t>
      </w:r>
      <w:bookmarkEnd w:id="3"/>
    </w:p>
    <w:p w:rsidR="001740DF" w:rsidRDefault="000F1D43">
      <w:pPr>
        <w:pStyle w:val="APAHeader"/>
        <w:rPr>
          <w:rFonts w:ascii="Arial" w:hAnsi="Arial" w:cs="Arial"/>
        </w:rPr>
      </w:pPr>
      <w:bookmarkStart w:id="4" w:name="bkFacultyName"/>
      <w:r>
        <w:rPr>
          <w:rFonts w:ascii="Arial" w:hAnsi="Arial" w:cs="Arial"/>
        </w:rPr>
        <w:t xml:space="preserve"> Mary Derx-Robinson</w:t>
      </w:r>
      <w:bookmarkEnd w:id="4"/>
    </w:p>
    <w:p w:rsidR="001740DF" w:rsidRDefault="001740DF">
      <w:pPr>
        <w:pStyle w:val="APA"/>
        <w:sectPr w:rsidR="001740DF">
          <w:headerReference w:type="default" r:id="rId8"/>
          <w:headerReference w:type="first" r:id="rId9"/>
          <w:pgSz w:w="12240" w:h="15840"/>
          <w:pgMar w:top="1440" w:right="1440" w:bottom="1440" w:left="1440" w:header="720" w:footer="720" w:gutter="0"/>
          <w:cols w:space="720"/>
          <w:titlePg/>
        </w:sectPr>
      </w:pPr>
    </w:p>
    <w:p w:rsidR="001740DF" w:rsidRDefault="000F1D43">
      <w:pPr>
        <w:pStyle w:val="APAHeader"/>
        <w:rPr>
          <w:rFonts w:ascii="Arial" w:hAnsi="Arial" w:cs="Arial"/>
          <w:b/>
        </w:rPr>
      </w:pPr>
      <w:r>
        <w:br w:type="page"/>
      </w:r>
      <w:r>
        <w:rPr>
          <w:rFonts w:ascii="Arial" w:hAnsi="Arial" w:cs="Arial"/>
          <w:b/>
        </w:rPr>
        <w:lastRenderedPageBreak/>
        <w:t>Free Cash Flow</w:t>
      </w:r>
    </w:p>
    <w:p w:rsidR="001740DF" w:rsidRDefault="000F1D43">
      <w:pPr>
        <w:pStyle w:val="Assignmentslevel1"/>
        <w:shd w:val="clear" w:color="auto" w:fill="FFFFFF"/>
        <w:spacing w:after="0" w:line="480" w:lineRule="auto"/>
        <w:ind w:firstLine="720"/>
        <w:rPr>
          <w:rFonts w:ascii="Arial" w:hAnsi="Arial" w:cs="Arial"/>
          <w:color w:val="000000"/>
        </w:rPr>
      </w:pPr>
      <w:r>
        <w:rPr>
          <w:rFonts w:ascii="Arial" w:hAnsi="Arial" w:cs="Arial"/>
          <w:color w:val="000000"/>
        </w:rPr>
        <w:t>Free cash flow is the measure of a business’s financial performance based on the cash that a company is capable of producing after spending the money necessary to retain operations or increase its assets.</w:t>
      </w:r>
      <w:r>
        <w:fldChar w:fldCharType="begin"/>
      </w:r>
      <w:r>
        <w:instrText xml:space="preserve"> CITATION Don16 \l 1033 </w:instrText>
      </w:r>
      <w:r>
        <w:fldChar w:fldCharType="separate"/>
      </w:r>
      <w:r>
        <w:rPr>
          <w:rFonts w:ascii="Arial" w:hAnsi="Arial" w:cs="Arial"/>
          <w:color w:val="000000"/>
        </w:rPr>
        <w:t xml:space="preserve"> (Kieso, Weygandt, &amp; Warfield, 2016)</w:t>
      </w:r>
      <w:r>
        <w:fldChar w:fldCharType="end"/>
      </w:r>
      <w:r>
        <w:rPr>
          <w:rFonts w:ascii="Arial" w:hAnsi="Arial" w:cs="Arial"/>
          <w:color w:val="000000"/>
        </w:rPr>
        <w:t xml:space="preserve"> Amazon has displayed the use of free cash flow by growing earnings, which occurs when the capital investments vital for growth surpass the present value of the cash flow resulting from those investments.</w:t>
      </w:r>
      <w:r>
        <w:fldChar w:fldCharType="begin"/>
      </w:r>
      <w:r>
        <w:instrText xml:space="preserve"> CITATION Jef09 \l 1033 </w:instrText>
      </w:r>
      <w:r>
        <w:fldChar w:fldCharType="separate"/>
      </w:r>
      <w:r>
        <w:rPr>
          <w:rFonts w:ascii="Arial" w:hAnsi="Arial" w:cs="Arial"/>
          <w:color w:val="000000"/>
        </w:rPr>
        <w:t xml:space="preserve"> (Bezos, 2009)</w:t>
      </w:r>
      <w:r>
        <w:fldChar w:fldCharType="end"/>
      </w:r>
      <w:r>
        <w:rPr>
          <w:rFonts w:ascii="Arial" w:hAnsi="Arial" w:cs="Arial"/>
          <w:color w:val="000000"/>
        </w:rPr>
        <w:t xml:space="preserve"> The incredible growth of Amazon.com has put fear into the hearts of traditional retailers. Amazon's stock price has soared to amazing levels. However, it is often pointed out in the financial press that it took the company several years to report its first profit.</w:t>
      </w:r>
      <w:sdt>
        <w:sdtPr>
          <w:rPr>
            <w:rFonts w:ascii="Arial" w:hAnsi="Arial" w:cs="Arial"/>
            <w:color w:val="000000"/>
          </w:rPr>
          <w:id w:val="218947861"/>
          <w:citation/>
        </w:sdtPr>
        <w:sdtEndPr/>
        <w:sdtContent>
          <w:r>
            <w:rPr>
              <w:rFonts w:ascii="Arial" w:hAnsi="Arial" w:cs="Arial"/>
              <w:color w:val="000000"/>
            </w:rPr>
            <w:fldChar w:fldCharType="begin"/>
          </w:r>
          <w:r>
            <w:rPr>
              <w:rFonts w:ascii="Arial" w:hAnsi="Arial" w:cs="Arial"/>
              <w:color w:val="000000"/>
            </w:rPr>
            <w:instrText xml:space="preserve"> CITATION Don16 \l 1033 </w:instrText>
          </w:r>
          <w:r>
            <w:rPr>
              <w:rFonts w:ascii="Arial" w:hAnsi="Arial" w:cs="Arial"/>
              <w:color w:val="000000"/>
            </w:rPr>
            <w:fldChar w:fldCharType="separate"/>
          </w:r>
          <w:r>
            <w:rPr>
              <w:rFonts w:ascii="Arial" w:hAnsi="Arial" w:cs="Arial"/>
              <w:noProof/>
              <w:color w:val="000000"/>
            </w:rPr>
            <w:t xml:space="preserve"> </w:t>
          </w:r>
          <w:r w:rsidRPr="000F1D43">
            <w:rPr>
              <w:rFonts w:ascii="Arial" w:hAnsi="Arial" w:cs="Arial"/>
              <w:noProof/>
              <w:color w:val="000000"/>
            </w:rPr>
            <w:t>(Kieso, Weygandt, &amp; Warfield, 2016)</w:t>
          </w:r>
          <w:r>
            <w:rPr>
              <w:rFonts w:ascii="Arial" w:hAnsi="Arial" w:cs="Arial"/>
              <w:color w:val="000000"/>
            </w:rPr>
            <w:fldChar w:fldCharType="end"/>
          </w:r>
        </w:sdtContent>
      </w:sdt>
      <w:r>
        <w:rPr>
          <w:rFonts w:ascii="Arial" w:hAnsi="Arial" w:cs="Arial"/>
          <w:color w:val="000000"/>
        </w:rPr>
        <w:t xml:space="preserve"> By examining the income statement during the first four years of business, Amazon has proven favorable percentages of 100% for compound earnings growth and $150 million in increasing revenue, which is every investor's dream.</w:t>
      </w:r>
      <w:r>
        <w:fldChar w:fldCharType="begin"/>
      </w:r>
      <w:r>
        <w:instrText xml:space="preserve"> CITATION UNI15 \l 1033 </w:instrText>
      </w:r>
      <w:r>
        <w:fldChar w:fldCharType="separate"/>
      </w:r>
      <w:r>
        <w:rPr>
          <w:rFonts w:ascii="Arial" w:hAnsi="Arial" w:cs="Arial"/>
          <w:color w:val="000000"/>
        </w:rPr>
        <w:t xml:space="preserve"> (COMMISSION, 2009)</w:t>
      </w:r>
      <w:r>
        <w:fldChar w:fldCharType="end"/>
      </w:r>
      <w:r>
        <w:rPr>
          <w:rFonts w:ascii="Arial" w:hAnsi="Arial" w:cs="Arial"/>
          <w:color w:val="000000"/>
        </w:rPr>
        <w:t xml:space="preserve"> </w:t>
      </w:r>
    </w:p>
    <w:p w:rsidR="001740DF" w:rsidRDefault="000F1D43">
      <w:pPr>
        <w:pStyle w:val="Assignmentslevel1"/>
        <w:shd w:val="clear" w:color="auto" w:fill="FFFFFF"/>
        <w:spacing w:after="0"/>
        <w:rPr>
          <w:rFonts w:ascii="Arial" w:hAnsi="Arial" w:cs="Arial"/>
          <w:color w:val="000000"/>
        </w:rPr>
      </w:pPr>
      <w:r>
        <w:rPr>
          <w:rStyle w:val="Strong"/>
          <w:rFonts w:ascii="Arial" w:hAnsi="Arial" w:cs="Arial"/>
          <w:color w:val="000000"/>
        </w:rPr>
        <w:t>Calculate</w:t>
      </w:r>
      <w:r>
        <w:rPr>
          <w:rStyle w:val="Apple-converted-space"/>
          <w:rFonts w:ascii="Arial" w:hAnsi="Arial" w:cs="Arial"/>
          <w:b/>
          <w:color w:val="000000"/>
        </w:rPr>
        <w:t> </w:t>
      </w:r>
      <w:r>
        <w:rPr>
          <w:rFonts w:ascii="Arial" w:hAnsi="Arial" w:cs="Arial"/>
          <w:color w:val="000000"/>
        </w:rPr>
        <w:t>free cash flow for Amazon for the current and prior years.</w:t>
      </w:r>
    </w:p>
    <w:p w:rsidR="001740DF" w:rsidRDefault="001740DF">
      <w:pPr>
        <w:pStyle w:val="Assignmentslevel1"/>
        <w:shd w:val="clear" w:color="auto" w:fill="FFFFFF"/>
        <w:spacing w:after="0"/>
        <w:rPr>
          <w:rFonts w:ascii="Arial" w:hAnsi="Arial" w:cs="Arial"/>
          <w:color w:val="000000"/>
        </w:rPr>
      </w:pPr>
    </w:p>
    <w:tbl>
      <w:tblPr>
        <w:tblW w:w="4880" w:type="pct"/>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firstRow="1" w:lastRow="0" w:firstColumn="1" w:lastColumn="0" w:noHBand="0" w:noVBand="1"/>
      </w:tblPr>
      <w:tblGrid>
        <w:gridCol w:w="3155"/>
        <w:gridCol w:w="3271"/>
        <w:gridCol w:w="2934"/>
      </w:tblGrid>
      <w:tr w:rsidR="001740DF">
        <w:tc>
          <w:tcPr>
            <w:tcW w:w="1685" w:type="pct"/>
            <w:shd w:val="clear" w:color="auto" w:fill="BFBFBF"/>
            <w:tcMar>
              <w:top w:w="86" w:type="dxa"/>
              <w:left w:w="115" w:type="dxa"/>
              <w:bottom w:w="86" w:type="dxa"/>
              <w:right w:w="115" w:type="dxa"/>
            </w:tcMar>
          </w:tcPr>
          <w:p w:rsidR="001740DF" w:rsidRDefault="000F1D43">
            <w:pPr>
              <w:rPr>
                <w:rFonts w:ascii="Arial" w:hAnsi="Arial" w:cs="Arial"/>
              </w:rPr>
            </w:pPr>
            <w:r>
              <w:rPr>
                <w:rFonts w:ascii="Arial" w:hAnsi="Arial" w:cs="Arial"/>
              </w:rPr>
              <w:t>$ in Millions</w:t>
            </w:r>
          </w:p>
        </w:tc>
        <w:tc>
          <w:tcPr>
            <w:tcW w:w="1747" w:type="pct"/>
            <w:shd w:val="clear" w:color="auto" w:fill="BFBFBF"/>
            <w:tcMar>
              <w:top w:w="86" w:type="dxa"/>
              <w:left w:w="115" w:type="dxa"/>
              <w:bottom w:w="86" w:type="dxa"/>
              <w:right w:w="115" w:type="dxa"/>
            </w:tcMar>
          </w:tcPr>
          <w:p w:rsidR="001740DF" w:rsidRDefault="000F1D43">
            <w:pPr>
              <w:jc w:val="center"/>
              <w:rPr>
                <w:rFonts w:ascii="Arial" w:hAnsi="Arial" w:cs="Arial"/>
              </w:rPr>
            </w:pPr>
            <w:r>
              <w:rPr>
                <w:rFonts w:ascii="Arial" w:hAnsi="Arial" w:cs="Arial"/>
              </w:rPr>
              <w:t>Current Year</w:t>
            </w:r>
          </w:p>
        </w:tc>
        <w:tc>
          <w:tcPr>
            <w:tcW w:w="1567" w:type="pct"/>
            <w:shd w:val="clear" w:color="auto" w:fill="BFBFBF"/>
            <w:tcMar>
              <w:top w:w="86" w:type="dxa"/>
              <w:left w:w="115" w:type="dxa"/>
              <w:bottom w:w="86" w:type="dxa"/>
              <w:right w:w="115" w:type="dxa"/>
            </w:tcMar>
          </w:tcPr>
          <w:p w:rsidR="001740DF" w:rsidRDefault="000F1D43">
            <w:pPr>
              <w:jc w:val="center"/>
              <w:rPr>
                <w:rFonts w:ascii="Arial" w:hAnsi="Arial" w:cs="Arial"/>
              </w:rPr>
            </w:pPr>
            <w:r>
              <w:rPr>
                <w:rFonts w:ascii="Arial" w:hAnsi="Arial" w:cs="Arial"/>
              </w:rPr>
              <w:t>Prior Year</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Current assets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$31,327</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$24, 625</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Total assets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54,505</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40,159</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Current liabilities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28,089</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22,980</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Total liabilities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43,764</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30,413</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Cash provided by operations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6,842</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5,475</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Capital expenditures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4,893</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3,444</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Dividends paid</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t>Net income (loss)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(241)</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274</w:t>
            </w:r>
          </w:p>
        </w:tc>
      </w:tr>
      <w:tr w:rsidR="001740DF">
        <w:tc>
          <w:tcPr>
            <w:tcW w:w="1685" w:type="pct"/>
            <w:shd w:val="clear" w:color="auto" w:fill="FFFFFF"/>
            <w:tcMar>
              <w:top w:w="86" w:type="dxa"/>
              <w:left w:w="115" w:type="dxa"/>
              <w:bottom w:w="86" w:type="dxa"/>
              <w:right w:w="115" w:type="dxa"/>
            </w:tcMar>
          </w:tcPr>
          <w:p w:rsidR="001740DF" w:rsidRDefault="000F1D43">
            <w:pPr>
              <w:rPr>
                <w:rFonts w:ascii="Arial" w:hAnsi="Arial" w:cs="Arial"/>
              </w:rPr>
            </w:pPr>
            <w:r>
              <w:rPr>
                <w:rFonts w:ascii="Arial" w:hAnsi="Arial" w:cs="Arial"/>
              </w:rPr>
              <w:lastRenderedPageBreak/>
              <w:t>Sales</w:t>
            </w:r>
          </w:p>
        </w:tc>
        <w:tc>
          <w:tcPr>
            <w:tcW w:w="174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88,988</w:t>
            </w:r>
          </w:p>
        </w:tc>
        <w:tc>
          <w:tcPr>
            <w:tcW w:w="1567" w:type="pct"/>
            <w:shd w:val="clear" w:color="auto" w:fill="FFFFFF"/>
            <w:tcMar>
              <w:top w:w="86" w:type="dxa"/>
              <w:left w:w="115" w:type="dxa"/>
              <w:bottom w:w="86" w:type="dxa"/>
              <w:right w:w="115" w:type="dxa"/>
            </w:tcMar>
          </w:tcPr>
          <w:p w:rsidR="001740DF" w:rsidRDefault="000F1D43">
            <w:pPr>
              <w:jc w:val="center"/>
              <w:rPr>
                <w:rFonts w:ascii="Arial" w:hAnsi="Arial" w:cs="Arial"/>
              </w:rPr>
            </w:pPr>
            <w:r>
              <w:rPr>
                <w:rFonts w:ascii="Arial" w:hAnsi="Arial" w:cs="Arial"/>
              </w:rPr>
              <w:t>74,452</w:t>
            </w:r>
          </w:p>
        </w:tc>
      </w:tr>
    </w:tbl>
    <w:p w:rsidR="001740DF" w:rsidRDefault="000F1D43">
      <w:pPr>
        <w:pStyle w:val="Assignmentslevel1"/>
        <w:shd w:val="clear" w:color="auto" w:fill="FFFFFF"/>
        <w:spacing w:after="0"/>
        <w:rPr>
          <w:rFonts w:ascii="Arial" w:hAnsi="Arial" w:cs="Arial"/>
          <w:i/>
          <w:color w:val="000000"/>
        </w:rPr>
      </w:pPr>
      <w:r>
        <w:rPr>
          <w:rFonts w:ascii="Arial" w:hAnsi="Arial" w:cs="Arial"/>
          <w:i/>
          <w:color w:val="000000"/>
        </w:rPr>
        <w:t xml:space="preserve">Free Cash Flow: </w:t>
      </w:r>
      <w:r>
        <w:rPr>
          <w:rFonts w:ascii="Arial" w:hAnsi="Arial" w:cs="Arial"/>
          <w:i/>
        </w:rPr>
        <w:t>Cash Provided by Operations - Capital Expenditures – Dividends Paid</w:t>
      </w:r>
    </w:p>
    <w:p w:rsidR="001740DF" w:rsidRDefault="001740DF">
      <w:pPr>
        <w:pStyle w:val="Assignmentslevel1"/>
        <w:shd w:val="clear" w:color="auto" w:fill="FFFFFF"/>
        <w:spacing w:after="0"/>
        <w:rPr>
          <w:rFonts w:ascii="Arial" w:hAnsi="Arial" w:cs="Arial"/>
        </w:rPr>
      </w:pPr>
    </w:p>
    <w:tbl>
      <w:tblPr>
        <w:tblStyle w:val="TableGrid"/>
        <w:tblW w:w="0" w:type="auto"/>
        <w:tblLook w:val="04A0" w:firstRow="1" w:lastRow="0" w:firstColumn="1" w:lastColumn="0" w:noHBand="0" w:noVBand="1"/>
      </w:tblPr>
      <w:tblGrid>
        <w:gridCol w:w="1889"/>
        <w:gridCol w:w="2007"/>
        <w:gridCol w:w="2100"/>
        <w:gridCol w:w="1982"/>
        <w:gridCol w:w="1598"/>
      </w:tblGrid>
      <w:tr w:rsidR="001740DF">
        <w:tc>
          <w:tcPr>
            <w:tcW w:w="1889" w:type="dxa"/>
          </w:tcPr>
          <w:p w:rsidR="001740DF" w:rsidRDefault="000F1D43">
            <w:pPr>
              <w:pStyle w:val="Assignmentslevel1"/>
              <w:spacing w:after="0"/>
              <w:jc w:val="center"/>
              <w:rPr>
                <w:rFonts w:ascii="Arial" w:hAnsi="Arial" w:cs="Arial"/>
                <w:b/>
                <w:i/>
              </w:rPr>
            </w:pPr>
            <w:r>
              <w:rPr>
                <w:rFonts w:ascii="Arial" w:hAnsi="Arial" w:cs="Arial"/>
                <w:b/>
                <w:i/>
              </w:rPr>
              <w:t>Amazon</w:t>
            </w:r>
          </w:p>
        </w:tc>
        <w:tc>
          <w:tcPr>
            <w:tcW w:w="2007" w:type="dxa"/>
          </w:tcPr>
          <w:p w:rsidR="001740DF" w:rsidRDefault="000F1D43">
            <w:pPr>
              <w:pStyle w:val="Assignmentslevel1"/>
              <w:spacing w:after="0"/>
              <w:jc w:val="center"/>
              <w:rPr>
                <w:rFonts w:ascii="Arial" w:hAnsi="Arial" w:cs="Arial"/>
                <w:b/>
                <w:i/>
              </w:rPr>
            </w:pPr>
            <w:r>
              <w:rPr>
                <w:rFonts w:ascii="Arial" w:hAnsi="Arial" w:cs="Arial"/>
                <w:b/>
                <w:i/>
              </w:rPr>
              <w:t>Cash provided by operations</w:t>
            </w:r>
          </w:p>
        </w:tc>
        <w:tc>
          <w:tcPr>
            <w:tcW w:w="2100" w:type="dxa"/>
          </w:tcPr>
          <w:p w:rsidR="001740DF" w:rsidRDefault="000F1D43">
            <w:pPr>
              <w:pStyle w:val="Assignmentslevel1"/>
              <w:spacing w:after="0"/>
              <w:jc w:val="center"/>
              <w:rPr>
                <w:rFonts w:ascii="Arial" w:hAnsi="Arial" w:cs="Arial"/>
                <w:b/>
                <w:i/>
              </w:rPr>
            </w:pPr>
            <w:r>
              <w:rPr>
                <w:rFonts w:ascii="Arial" w:hAnsi="Arial" w:cs="Arial"/>
                <w:b/>
                <w:i/>
              </w:rPr>
              <w:t>Capital expenditures</w:t>
            </w:r>
          </w:p>
        </w:tc>
        <w:tc>
          <w:tcPr>
            <w:tcW w:w="1982" w:type="dxa"/>
          </w:tcPr>
          <w:p w:rsidR="001740DF" w:rsidRDefault="000F1D43">
            <w:pPr>
              <w:pStyle w:val="Assignmentslevel1"/>
              <w:spacing w:after="0"/>
              <w:jc w:val="center"/>
              <w:rPr>
                <w:rFonts w:ascii="Arial" w:hAnsi="Arial" w:cs="Arial"/>
                <w:b/>
                <w:i/>
              </w:rPr>
            </w:pPr>
            <w:r>
              <w:rPr>
                <w:rFonts w:ascii="Arial" w:hAnsi="Arial" w:cs="Arial"/>
                <w:b/>
                <w:i/>
              </w:rPr>
              <w:t>Dividends paid</w:t>
            </w:r>
          </w:p>
        </w:tc>
        <w:tc>
          <w:tcPr>
            <w:tcW w:w="1598" w:type="dxa"/>
          </w:tcPr>
          <w:p w:rsidR="001740DF" w:rsidRDefault="000F1D43">
            <w:pPr>
              <w:pStyle w:val="Assignmentslevel1"/>
              <w:spacing w:after="0"/>
              <w:jc w:val="center"/>
              <w:rPr>
                <w:rFonts w:ascii="Arial" w:hAnsi="Arial" w:cs="Arial"/>
                <w:b/>
                <w:i/>
              </w:rPr>
            </w:pPr>
            <w:r>
              <w:rPr>
                <w:rFonts w:ascii="Arial" w:hAnsi="Arial" w:cs="Arial"/>
                <w:b/>
                <w:i/>
              </w:rPr>
              <w:t>Free Cash Flow</w:t>
            </w:r>
          </w:p>
        </w:tc>
      </w:tr>
      <w:tr w:rsidR="001740DF">
        <w:tc>
          <w:tcPr>
            <w:tcW w:w="1889" w:type="dxa"/>
          </w:tcPr>
          <w:p w:rsidR="001740DF" w:rsidRDefault="000F1D43">
            <w:pPr>
              <w:pStyle w:val="Assignmentslevel1"/>
              <w:spacing w:after="0"/>
              <w:rPr>
                <w:rFonts w:ascii="Arial" w:hAnsi="Arial" w:cs="Arial"/>
              </w:rPr>
            </w:pPr>
            <w:r>
              <w:rPr>
                <w:rFonts w:ascii="Arial" w:hAnsi="Arial" w:cs="Arial"/>
              </w:rPr>
              <w:t>Current Year</w:t>
            </w:r>
          </w:p>
        </w:tc>
        <w:tc>
          <w:tcPr>
            <w:tcW w:w="2007" w:type="dxa"/>
          </w:tcPr>
          <w:p w:rsidR="001740DF" w:rsidRDefault="000F1D43">
            <w:pPr>
              <w:pStyle w:val="Assignmentslevel1"/>
              <w:spacing w:after="0"/>
              <w:jc w:val="center"/>
              <w:rPr>
                <w:rFonts w:ascii="Arial" w:hAnsi="Arial" w:cs="Arial"/>
              </w:rPr>
            </w:pPr>
            <w:r>
              <w:rPr>
                <w:rFonts w:ascii="Arial" w:hAnsi="Arial" w:cs="Arial"/>
              </w:rPr>
              <w:t>6,842</w:t>
            </w:r>
          </w:p>
        </w:tc>
        <w:tc>
          <w:tcPr>
            <w:tcW w:w="2100" w:type="dxa"/>
          </w:tcPr>
          <w:p w:rsidR="001740DF" w:rsidRDefault="000F1D43">
            <w:pPr>
              <w:pStyle w:val="Assignmentslevel1"/>
              <w:spacing w:after="0"/>
              <w:jc w:val="center"/>
              <w:rPr>
                <w:rFonts w:ascii="Arial" w:hAnsi="Arial" w:cs="Arial"/>
              </w:rPr>
            </w:pPr>
            <w:r>
              <w:rPr>
                <w:rFonts w:ascii="Arial" w:hAnsi="Arial" w:cs="Arial"/>
              </w:rPr>
              <w:t>4,893</w:t>
            </w:r>
          </w:p>
        </w:tc>
        <w:tc>
          <w:tcPr>
            <w:tcW w:w="1982" w:type="dxa"/>
          </w:tcPr>
          <w:p w:rsidR="001740DF" w:rsidRDefault="000F1D43">
            <w:pPr>
              <w:pStyle w:val="Assignmentslevel1"/>
              <w:spacing w:after="0"/>
              <w:jc w:val="center"/>
              <w:rPr>
                <w:rFonts w:ascii="Arial" w:hAnsi="Arial" w:cs="Arial"/>
              </w:rPr>
            </w:pPr>
            <w:r>
              <w:rPr>
                <w:rFonts w:ascii="Arial" w:hAnsi="Arial" w:cs="Arial"/>
              </w:rPr>
              <w:t>--</w:t>
            </w:r>
          </w:p>
        </w:tc>
        <w:tc>
          <w:tcPr>
            <w:tcW w:w="1598" w:type="dxa"/>
          </w:tcPr>
          <w:p w:rsidR="001740DF" w:rsidRDefault="000F1D43">
            <w:pPr>
              <w:pStyle w:val="Assignmentslevel1"/>
              <w:spacing w:after="0"/>
              <w:jc w:val="center"/>
              <w:rPr>
                <w:rFonts w:ascii="Arial" w:hAnsi="Arial" w:cs="Arial"/>
                <w:b/>
              </w:rPr>
            </w:pPr>
            <w:r>
              <w:rPr>
                <w:rFonts w:ascii="Arial" w:hAnsi="Arial" w:cs="Arial"/>
                <w:b/>
              </w:rPr>
              <w:t>1,949</w:t>
            </w:r>
          </w:p>
        </w:tc>
      </w:tr>
      <w:tr w:rsidR="001740DF">
        <w:tc>
          <w:tcPr>
            <w:tcW w:w="1889" w:type="dxa"/>
          </w:tcPr>
          <w:p w:rsidR="001740DF" w:rsidRDefault="000F1D43">
            <w:pPr>
              <w:pStyle w:val="Assignmentslevel1"/>
              <w:spacing w:after="0"/>
              <w:rPr>
                <w:rFonts w:ascii="Arial" w:hAnsi="Arial" w:cs="Arial"/>
              </w:rPr>
            </w:pPr>
            <w:r>
              <w:rPr>
                <w:rFonts w:ascii="Arial" w:hAnsi="Arial" w:cs="Arial"/>
              </w:rPr>
              <w:t>Prior Year</w:t>
            </w:r>
          </w:p>
        </w:tc>
        <w:tc>
          <w:tcPr>
            <w:tcW w:w="2007" w:type="dxa"/>
          </w:tcPr>
          <w:p w:rsidR="001740DF" w:rsidRDefault="000F1D43">
            <w:pPr>
              <w:pStyle w:val="Assignmentslevel1"/>
              <w:spacing w:after="0"/>
              <w:jc w:val="center"/>
              <w:rPr>
                <w:rFonts w:ascii="Arial" w:hAnsi="Arial" w:cs="Arial"/>
              </w:rPr>
            </w:pPr>
            <w:r>
              <w:rPr>
                <w:rFonts w:ascii="Arial" w:hAnsi="Arial" w:cs="Arial"/>
              </w:rPr>
              <w:t>5,475</w:t>
            </w:r>
          </w:p>
        </w:tc>
        <w:tc>
          <w:tcPr>
            <w:tcW w:w="2100" w:type="dxa"/>
          </w:tcPr>
          <w:p w:rsidR="001740DF" w:rsidRDefault="000F1D43">
            <w:pPr>
              <w:pStyle w:val="Assignmentslevel1"/>
              <w:spacing w:after="0"/>
              <w:jc w:val="center"/>
              <w:rPr>
                <w:rFonts w:ascii="Arial" w:hAnsi="Arial" w:cs="Arial"/>
              </w:rPr>
            </w:pPr>
            <w:r>
              <w:rPr>
                <w:rFonts w:ascii="Arial" w:hAnsi="Arial" w:cs="Arial"/>
              </w:rPr>
              <w:t>3,444</w:t>
            </w:r>
          </w:p>
        </w:tc>
        <w:tc>
          <w:tcPr>
            <w:tcW w:w="1982" w:type="dxa"/>
          </w:tcPr>
          <w:p w:rsidR="001740DF" w:rsidRDefault="000F1D43">
            <w:pPr>
              <w:pStyle w:val="Assignmentslevel1"/>
              <w:spacing w:after="0"/>
              <w:jc w:val="center"/>
              <w:rPr>
                <w:rFonts w:ascii="Arial" w:hAnsi="Arial" w:cs="Arial"/>
              </w:rPr>
            </w:pPr>
            <w:r>
              <w:rPr>
                <w:rFonts w:ascii="Arial" w:hAnsi="Arial" w:cs="Arial"/>
              </w:rPr>
              <w:t>--</w:t>
            </w:r>
          </w:p>
        </w:tc>
        <w:tc>
          <w:tcPr>
            <w:tcW w:w="1598" w:type="dxa"/>
          </w:tcPr>
          <w:p w:rsidR="001740DF" w:rsidRDefault="000F1D43">
            <w:pPr>
              <w:pStyle w:val="Assignmentslevel1"/>
              <w:spacing w:after="0"/>
              <w:jc w:val="center"/>
              <w:rPr>
                <w:rFonts w:ascii="Arial" w:hAnsi="Arial" w:cs="Arial"/>
                <w:b/>
              </w:rPr>
            </w:pPr>
            <w:r>
              <w:rPr>
                <w:rFonts w:ascii="Arial" w:hAnsi="Arial" w:cs="Arial"/>
                <w:b/>
              </w:rPr>
              <w:t>2,031</w:t>
            </w:r>
          </w:p>
        </w:tc>
      </w:tr>
    </w:tbl>
    <w:p w:rsidR="001740DF" w:rsidRDefault="000F1D43">
      <w:pPr>
        <w:pStyle w:val="Assignmentslevel1"/>
        <w:shd w:val="clear" w:color="auto" w:fill="FFFFFF"/>
        <w:spacing w:after="0"/>
        <w:rPr>
          <w:rFonts w:ascii="Arial" w:hAnsi="Arial" w:cs="Arial"/>
          <w:color w:val="000000"/>
        </w:rPr>
      </w:pPr>
      <w:r>
        <w:rPr>
          <w:rStyle w:val="Strong"/>
          <w:rFonts w:ascii="Arial" w:hAnsi="Arial" w:cs="Arial"/>
          <w:color w:val="000000"/>
        </w:rPr>
        <w:t>Evaluate</w:t>
      </w:r>
      <w:r>
        <w:rPr>
          <w:rStyle w:val="Apple-converted-space"/>
          <w:rFonts w:ascii="Arial" w:hAnsi="Arial" w:cs="Arial"/>
          <w:b/>
          <w:color w:val="000000"/>
        </w:rPr>
        <w:t> </w:t>
      </w:r>
      <w:r>
        <w:rPr>
          <w:rFonts w:ascii="Arial" w:hAnsi="Arial" w:cs="Arial"/>
          <w:color w:val="000000"/>
        </w:rPr>
        <w:t>its ability to finance expansion from internally generated cash.</w:t>
      </w:r>
    </w:p>
    <w:p w:rsidR="001740DF" w:rsidRDefault="000F1D43">
      <w:pPr>
        <w:pStyle w:val="Assignmentslevel1"/>
        <w:shd w:val="clear" w:color="auto" w:fill="FFFFFF"/>
        <w:spacing w:after="0" w:line="480" w:lineRule="auto"/>
        <w:rPr>
          <w:rFonts w:ascii="Arial" w:hAnsi="Arial" w:cs="Arial"/>
          <w:color w:val="000000"/>
        </w:rPr>
      </w:pPr>
      <w:r>
        <w:rPr>
          <w:rFonts w:ascii="Arial" w:hAnsi="Arial" w:cs="Arial"/>
          <w:color w:val="000000"/>
        </w:rPr>
        <w:t>Thus far, Amazon has avoided purchasing large warehouses. Instead, it has used repositories of others. It is possible; however, that to increase customer satisfaction, the company may have to build its own warehouses. Amazon’s ability to finance expansion from internally generated cash would not be possible.</w:t>
      </w:r>
      <w:sdt>
        <w:sdtPr>
          <w:rPr>
            <w:rFonts w:ascii="Arial" w:hAnsi="Arial" w:cs="Arial"/>
            <w:color w:val="000000"/>
          </w:rPr>
          <w:id w:val="963618983"/>
          <w:citation/>
        </w:sdtPr>
        <w:sdtEndPr/>
        <w:sdtContent>
          <w:r>
            <w:rPr>
              <w:rFonts w:ascii="Arial" w:hAnsi="Arial" w:cs="Arial"/>
              <w:color w:val="000000"/>
            </w:rPr>
            <w:fldChar w:fldCharType="begin"/>
          </w:r>
          <w:r>
            <w:rPr>
              <w:rFonts w:ascii="Arial" w:hAnsi="Arial" w:cs="Arial"/>
              <w:color w:val="000000"/>
            </w:rPr>
            <w:instrText xml:space="preserve"> CITATION Don16 \l 1033 </w:instrText>
          </w:r>
          <w:r>
            <w:rPr>
              <w:rFonts w:ascii="Arial" w:hAnsi="Arial" w:cs="Arial"/>
              <w:color w:val="000000"/>
            </w:rPr>
            <w:fldChar w:fldCharType="separate"/>
          </w:r>
          <w:r>
            <w:rPr>
              <w:rFonts w:ascii="Arial" w:hAnsi="Arial" w:cs="Arial"/>
              <w:noProof/>
              <w:color w:val="000000"/>
            </w:rPr>
            <w:t xml:space="preserve"> </w:t>
          </w:r>
          <w:r w:rsidRPr="000F1D43">
            <w:rPr>
              <w:rFonts w:ascii="Arial" w:hAnsi="Arial" w:cs="Arial"/>
              <w:noProof/>
              <w:color w:val="000000"/>
            </w:rPr>
            <w:t>(Kieso, Weygandt, &amp; Warfield, 2016)</w:t>
          </w:r>
          <w:r>
            <w:rPr>
              <w:rFonts w:ascii="Arial" w:hAnsi="Arial" w:cs="Arial"/>
              <w:color w:val="000000"/>
            </w:rPr>
            <w:fldChar w:fldCharType="end"/>
          </w:r>
        </w:sdtContent>
      </w:sdt>
      <w:r>
        <w:rPr>
          <w:rFonts w:ascii="Arial" w:hAnsi="Arial" w:cs="Arial"/>
          <w:color w:val="000000"/>
        </w:rPr>
        <w:t xml:space="preserve"> If this happens:</w:t>
      </w:r>
    </w:p>
    <w:p w:rsidR="001740DF" w:rsidRDefault="000F1D43">
      <w:pPr>
        <w:pStyle w:val="APA"/>
        <w:ind w:firstLine="0"/>
        <w:rPr>
          <w:rFonts w:ascii="Arial" w:hAnsi="Arial" w:cs="Arial"/>
          <w:b/>
          <w:i/>
        </w:rPr>
      </w:pPr>
      <w:r>
        <w:rPr>
          <w:rFonts w:ascii="Arial" w:hAnsi="Arial" w:cs="Arial"/>
          <w:b/>
          <w:i/>
        </w:rPr>
        <w:t xml:space="preserve">Describe how your impression of its ability to fund expansion change. </w:t>
      </w:r>
    </w:p>
    <w:p w:rsidR="001740DF" w:rsidRDefault="000F1D43">
      <w:pPr>
        <w:pStyle w:val="APA"/>
        <w:rPr>
          <w:rFonts w:ascii="Arial" w:hAnsi="Arial" w:cs="Arial"/>
        </w:rPr>
      </w:pPr>
      <w:r>
        <w:rPr>
          <w:rFonts w:ascii="Arial" w:hAnsi="Arial" w:cs="Arial"/>
        </w:rPr>
        <w:t xml:space="preserve">Amazon’s free cash flow listed in the current and prior years are $1,949 million and $2,031 million. Amazon displays a decreasing trend in profitability and cash flow provided by operations. If Amazon wanted to rely on the investment required to build its own warehouses, the free cash flow demonstrates that Amazon may not be capable of financing the warehouses' expansion with internal funding. </w:t>
      </w:r>
    </w:p>
    <w:p w:rsidR="001740DF" w:rsidRDefault="000F1D43">
      <w:pPr>
        <w:pStyle w:val="APA"/>
        <w:ind w:firstLine="0"/>
        <w:rPr>
          <w:rFonts w:ascii="Arial" w:hAnsi="Arial" w:cs="Arial"/>
          <w:b/>
          <w:i/>
        </w:rPr>
      </w:pPr>
      <w:r>
        <w:rPr>
          <w:rFonts w:ascii="Arial" w:hAnsi="Arial" w:cs="Arial"/>
          <w:b/>
          <w:i/>
        </w:rPr>
        <w:t>Project any potential implications of the change in Amazon's cash provided by operations from the prior year to the current year.</w:t>
      </w:r>
    </w:p>
    <w:p w:rsidR="001740DF" w:rsidRDefault="000F1D43">
      <w:pPr>
        <w:pStyle w:val="APA"/>
        <w:rPr>
          <w:rFonts w:ascii="Arial" w:hAnsi="Arial" w:cs="Arial"/>
        </w:rPr>
      </w:pPr>
      <w:r>
        <w:rPr>
          <w:rFonts w:ascii="Arial" w:hAnsi="Arial" w:cs="Arial"/>
        </w:rPr>
        <w:t>The cash provided from operations did decrease in the current year compared to the previous year by $82 million. The caused by the lowering of profitability causes the $82 million decrease along with the net increase in working capital and other non-cash income adjustments.</w:t>
      </w:r>
      <w:r w:rsidRPr="000F1D43">
        <w:rPr>
          <w:rFonts w:ascii="Arial" w:hAnsi="Arial" w:cs="Arial"/>
        </w:rPr>
        <w:t xml:space="preserve"> </w:t>
      </w:r>
      <w:r>
        <w:rPr>
          <w:rFonts w:ascii="Arial" w:hAnsi="Arial" w:cs="Arial"/>
        </w:rPr>
        <w:t xml:space="preserve">Nevertheless, observing the cash flow statement of Amazon </w:t>
      </w:r>
      <w:r>
        <w:rPr>
          <w:rFonts w:ascii="Arial" w:hAnsi="Arial" w:cs="Arial"/>
        </w:rPr>
        <w:lastRenderedPageBreak/>
        <w:t>shows a negative net loss of $241 million in the current year. Another implication of Amazon’s change in cash provided by operations from a prior year to a current year could have been affected by earnings before interest (EBITDA), taxes, depreciation, and amortization.</w:t>
      </w:r>
      <w:r>
        <w:fldChar w:fldCharType="begin"/>
      </w:r>
      <w:r>
        <w:instrText xml:space="preserve"> CITATION UNI15 \l 1033 </w:instrText>
      </w:r>
      <w:r>
        <w:fldChar w:fldCharType="separate"/>
      </w:r>
      <w:r>
        <w:rPr>
          <w:rFonts w:ascii="Arial" w:hAnsi="Arial" w:cs="Arial"/>
        </w:rPr>
        <w:t xml:space="preserve"> (COMMISSION, 2009)</w:t>
      </w:r>
      <w:r>
        <w:fldChar w:fldCharType="end"/>
      </w:r>
      <w:r>
        <w:rPr>
          <w:rFonts w:ascii="Arial" w:hAnsi="Arial" w:cs="Arial"/>
        </w:rPr>
        <w:t xml:space="preserve"> Earnings before interest are not considered a cash flow, but Amazon would have to review the capital expenditures needed to generate the cash flow for financing the warehouses to expand their company. </w:t>
      </w:r>
    </w:p>
    <w:p w:rsidR="001740DF" w:rsidRDefault="000F1D43">
      <w:pPr>
        <w:pStyle w:val="APA"/>
        <w:rPr>
          <w:rFonts w:ascii="Arial" w:hAnsi="Arial" w:cs="Arial"/>
        </w:rPr>
      </w:pPr>
      <w:r>
        <w:rPr>
          <w:rFonts w:ascii="Arial" w:hAnsi="Arial" w:cs="Arial"/>
        </w:rPr>
        <w:t>Amazon’s financial goal is to provide excellent customer satisfaction with a long-term growth in free cash flow per share.</w:t>
      </w:r>
      <w:sdt>
        <w:sdtPr>
          <w:rPr>
            <w:rFonts w:ascii="Arial" w:hAnsi="Arial" w:cs="Arial"/>
          </w:rPr>
          <w:id w:val="-2091387745"/>
          <w:citation/>
        </w:sdtPr>
        <w:sdtEndPr/>
        <w:sdtContent>
          <w:r>
            <w:rPr>
              <w:rFonts w:ascii="Arial" w:hAnsi="Arial" w:cs="Arial"/>
            </w:rPr>
            <w:fldChar w:fldCharType="begin"/>
          </w:r>
          <w:r>
            <w:rPr>
              <w:rFonts w:ascii="Arial" w:hAnsi="Arial" w:cs="Arial"/>
            </w:rPr>
            <w:instrText xml:space="preserve"> CITATION UNI15 \l 1033 </w:instrText>
          </w:r>
          <w:r>
            <w:rPr>
              <w:rFonts w:ascii="Arial" w:hAnsi="Arial" w:cs="Arial"/>
            </w:rPr>
            <w:fldChar w:fldCharType="separate"/>
          </w:r>
          <w:r>
            <w:rPr>
              <w:rFonts w:ascii="Arial" w:hAnsi="Arial" w:cs="Arial"/>
              <w:noProof/>
            </w:rPr>
            <w:t xml:space="preserve"> </w:t>
          </w:r>
          <w:r w:rsidRPr="000F1D43">
            <w:rPr>
              <w:rFonts w:ascii="Arial" w:hAnsi="Arial" w:cs="Arial"/>
              <w:noProof/>
            </w:rPr>
            <w:t>(COMMISSION, 2009)</w:t>
          </w:r>
          <w:r>
            <w:rPr>
              <w:rFonts w:ascii="Arial" w:hAnsi="Arial" w:cs="Arial"/>
            </w:rPr>
            <w:fldChar w:fldCharType="end"/>
          </w:r>
        </w:sdtContent>
      </w:sdt>
      <w:r>
        <w:rPr>
          <w:rFonts w:ascii="Arial" w:hAnsi="Arial" w:cs="Arial"/>
        </w:rPr>
        <w:t xml:space="preserve"> Amazon’s free cash flow per share will show how the company is capable of paying debts, dividends, and promote the expansionary growth of the company by dividing the free cash flow by the total sum of outstanding shares to keep track of the changes in earnings per share for shareholders. As long as Amazon keeps increasing the operating profit and managing the working capital and capital expenditures, then the company will be able to expand with internally generated cash in the future. </w:t>
      </w:r>
    </w:p>
    <w:p w:rsidR="001740DF" w:rsidRDefault="001740DF">
      <w:pPr>
        <w:pStyle w:val="APA"/>
        <w:rPr>
          <w:rFonts w:ascii="Arial" w:hAnsi="Arial" w:cs="Arial"/>
        </w:rPr>
      </w:pPr>
    </w:p>
    <w:p w:rsidR="001740DF" w:rsidRDefault="001740DF">
      <w:pPr>
        <w:pStyle w:val="APA"/>
        <w:rPr>
          <w:rFonts w:ascii="Arial" w:hAnsi="Arial" w:cs="Arial"/>
        </w:rPr>
      </w:pPr>
    </w:p>
    <w:p w:rsidR="001740DF" w:rsidRDefault="001740DF">
      <w:pPr>
        <w:pStyle w:val="APA"/>
        <w:rPr>
          <w:rFonts w:ascii="Arial" w:hAnsi="Arial" w:cs="Arial"/>
        </w:rPr>
      </w:pPr>
    </w:p>
    <w:p w:rsidR="001740DF" w:rsidRDefault="001740DF">
      <w:pPr>
        <w:pStyle w:val="APA"/>
        <w:rPr>
          <w:rFonts w:ascii="Arial" w:hAnsi="Arial" w:cs="Arial"/>
        </w:rPr>
      </w:pPr>
    </w:p>
    <w:p w:rsidR="00942E43" w:rsidRDefault="00942E43">
      <w:pPr>
        <w:pStyle w:val="APA"/>
        <w:rPr>
          <w:rFonts w:ascii="Arial" w:hAnsi="Arial" w:cs="Arial"/>
        </w:rPr>
      </w:pPr>
    </w:p>
    <w:p w:rsidR="00942E43" w:rsidRDefault="00942E43">
      <w:pPr>
        <w:pStyle w:val="APA"/>
        <w:rPr>
          <w:rFonts w:ascii="Arial" w:hAnsi="Arial" w:cs="Arial"/>
        </w:rPr>
      </w:pPr>
    </w:p>
    <w:p w:rsidR="001740DF" w:rsidRDefault="001740DF">
      <w:pPr>
        <w:pStyle w:val="APA"/>
        <w:rPr>
          <w:rFonts w:ascii="Arial" w:hAnsi="Arial" w:cs="Arial"/>
        </w:rPr>
      </w:pPr>
    </w:p>
    <w:p w:rsidR="001740DF" w:rsidRDefault="000F1D43">
      <w:pPr>
        <w:pStyle w:val="Heading11"/>
        <w:spacing w:line="480" w:lineRule="auto"/>
        <w:jc w:val="center"/>
        <w:rPr>
          <w:rFonts w:ascii="Arial" w:hAnsi="Arial" w:cs="Arial"/>
          <w:b/>
          <w:color w:val="auto"/>
          <w:sz w:val="24"/>
        </w:rPr>
      </w:pPr>
      <w:r>
        <w:rPr>
          <w:rFonts w:ascii="Arial" w:hAnsi="Arial" w:cs="Arial"/>
          <w:b/>
          <w:color w:val="auto"/>
          <w:sz w:val="24"/>
        </w:rPr>
        <w:lastRenderedPageBreak/>
        <w:t>References</w:t>
      </w:r>
    </w:p>
    <w:p w:rsidR="001740DF" w:rsidRDefault="001740DF">
      <w:pPr>
        <w:spacing w:line="480" w:lineRule="auto"/>
        <w:rPr>
          <w:rFonts w:ascii="Arial" w:hAnsi="Arial" w:cs="Arial"/>
        </w:rPr>
      </w:pPr>
    </w:p>
    <w:p w:rsidR="001740DF" w:rsidRDefault="000F1D43">
      <w:pPr>
        <w:pStyle w:val="Bibliography"/>
        <w:spacing w:line="480" w:lineRule="auto"/>
        <w:ind w:left="720" w:hanging="720"/>
        <w:rPr>
          <w:rFonts w:ascii="Arial" w:hAnsi="Arial" w:cs="Arial"/>
        </w:rPr>
      </w:pPr>
      <w:r>
        <w:fldChar w:fldCharType="begin"/>
      </w:r>
      <w:r>
        <w:instrText xml:space="preserve"> BIBLIOGRAPHY </w:instrText>
      </w:r>
      <w:r>
        <w:fldChar w:fldCharType="separate"/>
      </w:r>
      <w:r>
        <w:rPr>
          <w:rFonts w:ascii="Arial" w:hAnsi="Arial" w:cs="Arial"/>
        </w:rPr>
        <w:t xml:space="preserve">Bezos, J. P. (2009, January 29). </w:t>
      </w:r>
      <w:r>
        <w:rPr>
          <w:rFonts w:ascii="Arial" w:hAnsi="Arial" w:cs="Arial"/>
          <w:i/>
        </w:rPr>
        <w:t>2004 LETTER TO SHAREHOLDERS.</w:t>
      </w:r>
      <w:r>
        <w:rPr>
          <w:rFonts w:ascii="Arial" w:hAnsi="Arial" w:cs="Arial"/>
        </w:rPr>
        <w:t xml:space="preserve"> Retrieved from Securities and Exchange Commission: http://www.sec.gov</w:t>
      </w:r>
    </w:p>
    <w:p w:rsidR="001740DF" w:rsidRDefault="000F1D43">
      <w:pPr>
        <w:pStyle w:val="Bibliography"/>
        <w:spacing w:line="480" w:lineRule="auto"/>
        <w:ind w:left="720" w:hanging="720"/>
        <w:rPr>
          <w:rFonts w:ascii="Arial" w:hAnsi="Arial" w:cs="Arial"/>
        </w:rPr>
      </w:pPr>
      <w:r>
        <w:rPr>
          <w:rFonts w:ascii="Arial" w:hAnsi="Arial" w:cs="Arial"/>
        </w:rPr>
        <w:t xml:space="preserve">COMMISSION, U. S. (2009, January 29). </w:t>
      </w:r>
      <w:r>
        <w:rPr>
          <w:rFonts w:ascii="Arial" w:hAnsi="Arial" w:cs="Arial"/>
          <w:i/>
        </w:rPr>
        <w:t>SEC Filings</w:t>
      </w:r>
      <w:r>
        <w:rPr>
          <w:rFonts w:ascii="Arial" w:hAnsi="Arial" w:cs="Arial"/>
        </w:rPr>
        <w:t>. Retrieved from Notes to Consolidated Financial Statements: http://www.sec.gov</w:t>
      </w:r>
    </w:p>
    <w:p w:rsidR="001740DF" w:rsidRDefault="000F1D43">
      <w:pPr>
        <w:pStyle w:val="Bibliography"/>
        <w:spacing w:line="480" w:lineRule="auto"/>
        <w:ind w:left="720" w:hanging="720"/>
        <w:rPr>
          <w:rFonts w:ascii="Arial" w:hAnsi="Arial" w:cs="Arial"/>
        </w:rPr>
      </w:pPr>
      <w:r>
        <w:rPr>
          <w:rFonts w:ascii="Arial" w:hAnsi="Arial" w:cs="Arial"/>
        </w:rPr>
        <w:t xml:space="preserve">Kieso, D. E., Weygandt, J. J., &amp; Warfield, T. D. (2016). </w:t>
      </w:r>
      <w:r>
        <w:rPr>
          <w:rFonts w:ascii="Arial" w:hAnsi="Arial" w:cs="Arial"/>
          <w:i/>
        </w:rPr>
        <w:t>Intermediate Accounting.</w:t>
      </w:r>
      <w:r>
        <w:rPr>
          <w:rFonts w:ascii="Arial" w:hAnsi="Arial" w:cs="Arial"/>
        </w:rPr>
        <w:t xml:space="preserve"> Danvers: John Wiley &amp; Sons.</w:t>
      </w:r>
    </w:p>
    <w:p w:rsidR="001740DF" w:rsidRDefault="000F1D43">
      <w:pPr>
        <w:spacing w:line="480" w:lineRule="auto"/>
        <w:rPr>
          <w:rFonts w:ascii="Arial" w:hAnsi="Arial" w:cs="Arial"/>
        </w:rPr>
      </w:pPr>
      <w:r>
        <w:fldChar w:fldCharType="end"/>
      </w:r>
    </w:p>
    <w:p w:rsidR="001740DF" w:rsidRDefault="001740DF">
      <w:pPr>
        <w:spacing w:line="480" w:lineRule="auto"/>
        <w:rPr>
          <w:rFonts w:ascii="Arial" w:hAnsi="Arial" w:cs="Arial"/>
        </w:rPr>
      </w:pPr>
    </w:p>
    <w:p w:rsidR="001740DF" w:rsidRDefault="001740DF">
      <w:pPr>
        <w:pStyle w:val="APA"/>
      </w:pPr>
    </w:p>
    <w:sectPr w:rsidR="001740DF">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EF" w:rsidRDefault="009E61EF">
      <w:r>
        <w:separator/>
      </w:r>
    </w:p>
  </w:endnote>
  <w:endnote w:type="continuationSeparator" w:id="0">
    <w:p w:rsidR="009E61EF" w:rsidRDefault="009E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EF" w:rsidRDefault="009E61EF">
      <w:r>
        <w:separator/>
      </w:r>
    </w:p>
  </w:footnote>
  <w:footnote w:type="continuationSeparator" w:id="0">
    <w:p w:rsidR="009E61EF" w:rsidRDefault="009E6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DF" w:rsidRDefault="001740DF"/>
  <w:tbl>
    <w:tblPr>
      <w:tblW w:w="5000" w:type="pct"/>
      <w:tblLayout w:type="fixed"/>
      <w:tblLook w:val="0000" w:firstRow="0" w:lastRow="0" w:firstColumn="0" w:lastColumn="0" w:noHBand="0" w:noVBand="0"/>
    </w:tblPr>
    <w:tblGrid>
      <w:gridCol w:w="8618"/>
      <w:gridCol w:w="958"/>
    </w:tblGrid>
    <w:tr w:rsidR="001740DF">
      <w:tc>
        <w:tcPr>
          <w:tcW w:w="4500" w:type="pct"/>
          <w:shd w:val="clear" w:color="auto" w:fill="auto"/>
        </w:tcPr>
        <w:p w:rsidR="001740DF" w:rsidRDefault="000F1D43">
          <w:pPr>
            <w:pStyle w:val="Header1"/>
            <w:rPr>
              <w:rFonts w:ascii="Arial" w:hAnsi="Arial" w:cs="Arial"/>
            </w:rPr>
          </w:pPr>
          <w:r>
            <w:rPr>
              <w:rFonts w:ascii="Arial" w:hAnsi="Arial" w:cs="Arial"/>
            </w:rPr>
            <w:t>ANALYZING AMAZON</w:t>
          </w:r>
        </w:p>
      </w:tc>
      <w:tc>
        <w:tcPr>
          <w:tcW w:w="2500" w:type="pct"/>
          <w:shd w:val="clear" w:color="auto" w:fill="auto"/>
        </w:tcPr>
        <w:p w:rsidR="001740DF" w:rsidRDefault="000F1D43">
          <w:pPr>
            <w:pStyle w:val="Header1"/>
            <w:jc w:val="right"/>
            <w:rPr>
              <w:rFonts w:ascii="Arial" w:hAnsi="Arial" w:cs="Arial"/>
            </w:rPr>
          </w:pPr>
          <w:r>
            <w:rPr>
              <w:rFonts w:ascii="Arial" w:hAnsi="Arial" w:cs="Arial"/>
            </w:rPr>
            <w:t xml:space="preserve"> </w:t>
          </w:r>
          <w:r>
            <w:fldChar w:fldCharType="begin"/>
          </w:r>
          <w:r>
            <w:instrText xml:space="preserve"> PAGE  \* MERGEFORMAT </w:instrText>
          </w:r>
          <w:r>
            <w:fldChar w:fldCharType="separate"/>
          </w:r>
          <w:r w:rsidR="007D5D41" w:rsidRPr="007D5D41">
            <w:rPr>
              <w:rFonts w:ascii="Arial" w:hAnsi="Arial" w:cs="Arial"/>
              <w:noProof/>
            </w:rPr>
            <w:t>5</w:t>
          </w:r>
          <w:r>
            <w:fldChar w:fldCharType="end"/>
          </w:r>
        </w:p>
        <w:p w:rsidR="001740DF" w:rsidRDefault="001740DF">
          <w:pPr>
            <w:pStyle w:val="Header1"/>
            <w:rPr>
              <w:rFonts w:ascii="Arial" w:hAnsi="Arial" w:cs="Arial"/>
            </w:rPr>
          </w:pPr>
        </w:p>
      </w:tc>
    </w:tr>
  </w:tbl>
  <w:p w:rsidR="001740DF" w:rsidRDefault="001740DF">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Look w:val="0000" w:firstRow="0" w:lastRow="0" w:firstColumn="0" w:lastColumn="0" w:noHBand="0" w:noVBand="0"/>
    </w:tblPr>
    <w:tblGrid>
      <w:gridCol w:w="8618"/>
      <w:gridCol w:w="958"/>
    </w:tblGrid>
    <w:tr w:rsidR="001740DF">
      <w:tc>
        <w:tcPr>
          <w:tcW w:w="4500" w:type="pct"/>
          <w:shd w:val="clear" w:color="auto" w:fill="auto"/>
        </w:tcPr>
        <w:p w:rsidR="001740DF" w:rsidRDefault="001740DF">
          <w:pPr>
            <w:pStyle w:val="Header1"/>
          </w:pPr>
        </w:p>
      </w:tc>
      <w:tc>
        <w:tcPr>
          <w:tcW w:w="2500" w:type="pct"/>
          <w:shd w:val="clear" w:color="auto" w:fill="auto"/>
        </w:tcPr>
        <w:p w:rsidR="001740DF" w:rsidRDefault="001740DF">
          <w:pPr>
            <w:pStyle w:val="Header1"/>
            <w:jc w:val="right"/>
          </w:pPr>
        </w:p>
      </w:tc>
    </w:tr>
  </w:tbl>
  <w:p w:rsidR="001740DF" w:rsidRDefault="001740DF">
    <w:pPr>
      <w:pStyle w:val="Header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46182"/>
    <w:multiLevelType w:val="multilevel"/>
    <w:tmpl w:val="ECFE7EB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488D11A3"/>
    <w:multiLevelType w:val="hybridMultilevel"/>
    <w:tmpl w:val="A6E896B6"/>
    <w:lvl w:ilvl="0" w:tplc="3286C2CE">
      <w:start w:val="1"/>
      <w:numFmt w:val="bullet"/>
      <w:lvlText w:val=""/>
      <w:lvlJc w:val="left"/>
      <w:pPr>
        <w:ind w:left="360" w:hanging="360"/>
      </w:pPr>
      <w:rPr>
        <w:rFonts w:ascii="Symbol" w:hAnsi="Symbol"/>
      </w:rPr>
    </w:lvl>
    <w:lvl w:ilvl="1" w:tplc="13FE4892">
      <w:start w:val="1"/>
      <w:numFmt w:val="bullet"/>
      <w:lvlText w:val="o"/>
      <w:lvlJc w:val="left"/>
      <w:pPr>
        <w:ind w:left="1080" w:hanging="360"/>
      </w:pPr>
      <w:rPr>
        <w:rFonts w:ascii="Courier New" w:hAnsi="Courier New" w:cs="Courier New"/>
      </w:rPr>
    </w:lvl>
    <w:lvl w:ilvl="2" w:tplc="61A68506">
      <w:start w:val="1"/>
      <w:numFmt w:val="bullet"/>
      <w:lvlText w:val=""/>
      <w:lvlJc w:val="left"/>
      <w:pPr>
        <w:ind w:left="1800" w:hanging="360"/>
      </w:pPr>
      <w:rPr>
        <w:rFonts w:ascii="Wingdings" w:hAnsi="Wingdings"/>
      </w:rPr>
    </w:lvl>
    <w:lvl w:ilvl="3" w:tplc="D8B4FFB6">
      <w:start w:val="1"/>
      <w:numFmt w:val="bullet"/>
      <w:lvlText w:val=""/>
      <w:lvlJc w:val="left"/>
      <w:pPr>
        <w:ind w:left="2520" w:hanging="360"/>
      </w:pPr>
      <w:rPr>
        <w:rFonts w:ascii="Symbol" w:hAnsi="Symbol"/>
      </w:rPr>
    </w:lvl>
    <w:lvl w:ilvl="4" w:tplc="977ACA18">
      <w:start w:val="1"/>
      <w:numFmt w:val="bullet"/>
      <w:lvlText w:val="o"/>
      <w:lvlJc w:val="left"/>
      <w:pPr>
        <w:ind w:left="3240" w:hanging="360"/>
      </w:pPr>
      <w:rPr>
        <w:rFonts w:ascii="Courier New" w:hAnsi="Courier New" w:cs="Courier New"/>
      </w:rPr>
    </w:lvl>
    <w:lvl w:ilvl="5" w:tplc="70B0AF42">
      <w:start w:val="1"/>
      <w:numFmt w:val="bullet"/>
      <w:lvlText w:val=""/>
      <w:lvlJc w:val="left"/>
      <w:pPr>
        <w:ind w:left="3960" w:hanging="360"/>
      </w:pPr>
      <w:rPr>
        <w:rFonts w:ascii="Wingdings" w:hAnsi="Wingdings"/>
      </w:rPr>
    </w:lvl>
    <w:lvl w:ilvl="6" w:tplc="15584564">
      <w:start w:val="1"/>
      <w:numFmt w:val="bullet"/>
      <w:lvlText w:val=""/>
      <w:lvlJc w:val="left"/>
      <w:pPr>
        <w:ind w:left="4680" w:hanging="360"/>
      </w:pPr>
      <w:rPr>
        <w:rFonts w:ascii="Symbol" w:hAnsi="Symbol"/>
      </w:rPr>
    </w:lvl>
    <w:lvl w:ilvl="7" w:tplc="8C7E29EE">
      <w:start w:val="1"/>
      <w:numFmt w:val="bullet"/>
      <w:lvlText w:val="o"/>
      <w:lvlJc w:val="left"/>
      <w:pPr>
        <w:ind w:left="5400" w:hanging="360"/>
      </w:pPr>
      <w:rPr>
        <w:rFonts w:ascii="Courier New" w:hAnsi="Courier New" w:cs="Courier New"/>
      </w:rPr>
    </w:lvl>
    <w:lvl w:ilvl="8" w:tplc="ECF63458">
      <w:start w:val="1"/>
      <w:numFmt w:val="bullet"/>
      <w:lvlText w:val=""/>
      <w:lvlJc w:val="left"/>
      <w:pPr>
        <w:ind w:left="612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0"/>
    <w:docVar w:name="IncludeRunningHead" w:val="-1"/>
    <w:docVar w:name="OpenYesNo" w:val="0"/>
  </w:docVars>
  <w:rsids>
    <w:rsidRoot w:val="001740DF"/>
    <w:rsid w:val="000F1D43"/>
    <w:rsid w:val="001740DF"/>
    <w:rsid w:val="007D5D41"/>
    <w:rsid w:val="00942E43"/>
    <w:rsid w:val="009E61EF"/>
    <w:rsid w:val="00B7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7420C-4FFA-4313-A7A3-E1F9124A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240" w:line="259" w:lineRule="auto"/>
    </w:pPr>
    <w:rPr>
      <w:rFonts w:ascii="Calibri Light" w:hAnsi="Calibri Light"/>
      <w:color w:val="2E74B5"/>
      <w:sz w:val="32"/>
    </w:rPr>
  </w:style>
  <w:style w:type="paragraph" w:styleId="NormalWeb">
    <w:name w:val="Normal (Web)"/>
    <w:basedOn w:val="Normal"/>
    <w:uiPriority w:val="99"/>
    <w:unhideWhenUsed/>
    <w:pPr>
      <w:spacing w:before="100"/>
    </w:pPr>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5B9BD5" w:themeColor="accent1"/>
    </w:rPr>
  </w:style>
  <w:style w:type="paragraph" w:customStyle="1" w:styleId="Footer1">
    <w:name w:val="Footer1"/>
    <w:basedOn w:val="Normal"/>
    <w:uiPriority w:val="99"/>
    <w:pPr>
      <w:tabs>
        <w:tab w:val="center" w:pos="4320"/>
        <w:tab w:val="right" w:pos="8640"/>
      </w:tabs>
    </w:p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customStyle="1" w:styleId="APAHeader">
    <w:name w:val="APA Header"/>
    <w:basedOn w:val="APA"/>
    <w:next w:val="APA"/>
    <w:uiPriority w:val="99"/>
    <w:pPr>
      <w:ind w:firstLine="0"/>
      <w:jc w:val="center"/>
    </w:pPr>
  </w:style>
  <w:style w:type="paragraph" w:customStyle="1" w:styleId="APAPageHeading">
    <w:name w:val="APA Page Heading"/>
    <w:basedOn w:val="APAHeader"/>
    <w:uiPriority w:val="99"/>
    <w:pPr>
      <w:jc w:val="both"/>
    </w:pPr>
  </w:style>
  <w:style w:type="character" w:customStyle="1" w:styleId="PageNumber1">
    <w:name w:val="Page Number1"/>
    <w:basedOn w:val="DefaultParagraphFont"/>
    <w:uiPriority w:val="99"/>
  </w:style>
  <w:style w:type="paragraph" w:styleId="Quote">
    <w:name w:val="Quote"/>
    <w:basedOn w:val="Normal"/>
    <w:next w:val="Normal"/>
    <w:link w:val="QuoteChar"/>
    <w:uiPriority w:val="29"/>
    <w:qFormat/>
    <w:rPr>
      <w:i/>
      <w:color w:val="000000" w:themeColor="text1"/>
    </w:rPr>
  </w:style>
  <w:style w:type="paragraph" w:customStyle="1" w:styleId="Heading91">
    <w:name w:val="Heading 91"/>
    <w:basedOn w:val="Normal"/>
    <w:next w:val="Normal"/>
    <w:link w:val="Heading9Char"/>
    <w:uiPriority w:val="9"/>
    <w:semiHidden/>
    <w:unhideWhenUsed/>
    <w:qFormat/>
    <w:pPr>
      <w:keepNext/>
      <w:keepLines/>
      <w:spacing w:before="200"/>
    </w:pPr>
    <w:rPr>
      <w:rFonts w:asciiTheme="majorHAnsi" w:eastAsiaTheme="majorEastAsia" w:hAnsiTheme="majorHAnsi" w:cstheme="majorBidi"/>
      <w:i/>
      <w:color w:val="404040" w:themeColor="text1" w:themeTint="BF"/>
      <w:sz w:val="20"/>
    </w:rPr>
  </w:style>
  <w:style w:type="character" w:styleId="SubtleReference">
    <w:name w:val="Subtle Reference"/>
    <w:basedOn w:val="DefaultParagraphFont"/>
    <w:uiPriority w:val="31"/>
    <w:qFormat/>
    <w:rPr>
      <w:smallCaps/>
      <w:color w:val="ED7D31" w:themeColor="accent2"/>
      <w:u w:val="single"/>
    </w:rPr>
  </w:style>
  <w:style w:type="paragraph" w:customStyle="1" w:styleId="Heading81">
    <w:name w:val="Heading 81"/>
    <w:basedOn w:val="Normal"/>
    <w:next w:val="Normal"/>
    <w:link w:val="Heading8Char"/>
    <w:uiPriority w:val="9"/>
    <w:semiHidden/>
    <w:unhideWhenUsed/>
    <w:qFormat/>
    <w:pPr>
      <w:keepNext/>
      <w:keepLines/>
      <w:spacing w:before="200"/>
    </w:pPr>
    <w:rPr>
      <w:rFonts w:asciiTheme="majorHAnsi" w:eastAsiaTheme="majorEastAsia" w:hAnsiTheme="majorHAnsi" w:cstheme="majorBidi"/>
      <w:color w:val="404040" w:themeColor="text1" w:themeTint="BF"/>
      <w:sz w:val="20"/>
    </w:rPr>
  </w:style>
  <w:style w:type="paragraph" w:customStyle="1" w:styleId="Heading71">
    <w:name w:val="Heading 71"/>
    <w:basedOn w:val="Normal"/>
    <w:next w:val="Normal"/>
    <w:link w:val="Heading7Char"/>
    <w:uiPriority w:val="9"/>
    <w:semiHidden/>
    <w:unhideWhenUsed/>
    <w:qFormat/>
    <w:pPr>
      <w:keepNext/>
      <w:keepLines/>
      <w:spacing w:before="200"/>
    </w:pPr>
    <w:rPr>
      <w:rFonts w:asciiTheme="majorHAnsi" w:eastAsiaTheme="majorEastAsia" w:hAnsiTheme="majorHAnsi" w:cstheme="majorBidi"/>
      <w:i/>
      <w:color w:val="404040" w:themeColor="text1" w:themeTint="BF"/>
    </w:rPr>
  </w:style>
  <w:style w:type="character" w:customStyle="1" w:styleId="IntenseQuoteChar">
    <w:name w:val="Intense Quote Char"/>
    <w:basedOn w:val="DefaultParagraphFont"/>
    <w:link w:val="IntenseQuote"/>
    <w:uiPriority w:val="30"/>
    <w:rPr>
      <w:b/>
      <w:i/>
      <w:color w:val="5B9BD5" w:themeColor="accent1"/>
    </w:rPr>
  </w:style>
  <w:style w:type="paragraph" w:customStyle="1" w:styleId="Heading61">
    <w:name w:val="Heading 61"/>
    <w:basedOn w:val="Normal"/>
    <w:next w:val="Normal"/>
    <w:link w:val="Heading6Char"/>
    <w:uiPriority w:val="9"/>
    <w:semiHidden/>
    <w:unhideWhenUsed/>
    <w:qFormat/>
    <w:pPr>
      <w:keepNext/>
      <w:keepLines/>
      <w:spacing w:before="200"/>
    </w:pPr>
    <w:rPr>
      <w:rFonts w:asciiTheme="majorHAnsi" w:eastAsiaTheme="majorEastAsia" w:hAnsiTheme="majorHAnsi" w:cstheme="majorBidi"/>
      <w:i/>
      <w:color w:val="1F4D78" w:themeColor="accent1" w:themeShade="7F"/>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5B9BD5" w:themeColor="accent1"/>
    </w:rPr>
  </w:style>
  <w:style w:type="paragraph" w:customStyle="1" w:styleId="Heading51">
    <w:name w:val="Heading 51"/>
    <w:basedOn w:val="Normal"/>
    <w:next w:val="Normal"/>
    <w:link w:val="Heading5Char"/>
    <w:uiPriority w:val="9"/>
    <w:semiHidden/>
    <w:unhideWhenUsed/>
    <w:qFormat/>
    <w:pPr>
      <w:keepNext/>
      <w:keepLines/>
      <w:spacing w:before="200"/>
    </w:pPr>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1F4D78" w:themeColor="accent1" w:themeShade="7F"/>
    </w:rPr>
  </w:style>
  <w:style w:type="paragraph" w:customStyle="1" w:styleId="Heading41">
    <w:name w:val="Heading 41"/>
    <w:basedOn w:val="Normal"/>
    <w:next w:val="Normal"/>
    <w:link w:val="Heading4Char"/>
    <w:uiPriority w:val="9"/>
    <w:semiHidden/>
    <w:unhideWhenUsed/>
    <w:qFormat/>
    <w:pPr>
      <w:keepNext/>
      <w:keepLines/>
      <w:spacing w:before="200"/>
    </w:pPr>
    <w:rPr>
      <w:rFonts w:asciiTheme="majorHAnsi" w:eastAsiaTheme="majorEastAsia" w:hAnsiTheme="majorHAnsi" w:cstheme="majorBidi"/>
      <w:b/>
      <w:i/>
      <w:color w:val="5B9BD5" w:themeColor="accent1"/>
    </w:rPr>
  </w:style>
  <w:style w:type="paragraph" w:customStyle="1" w:styleId="APAAbstractTitle">
    <w:name w:val="APA Abstract Title"/>
    <w:basedOn w:val="APAPageHeading"/>
    <w:uiPriority w:val="99"/>
    <w:pPr>
      <w:jc w:val="center"/>
    </w:pPr>
  </w:style>
  <w:style w:type="paragraph" w:customStyle="1" w:styleId="Heading31">
    <w:name w:val="Heading 31"/>
    <w:basedOn w:val="Normal"/>
    <w:next w:val="Normal"/>
    <w:link w:val="Heading3Char"/>
    <w:uiPriority w:val="9"/>
    <w:semiHidden/>
    <w:unhideWhenUsed/>
    <w:qFormat/>
    <w:pPr>
      <w:keepNext/>
      <w:keepLines/>
      <w:spacing w:before="200"/>
    </w:pPr>
    <w:rPr>
      <w:rFonts w:asciiTheme="majorHAnsi" w:eastAsiaTheme="majorEastAsia" w:hAnsiTheme="majorHAnsi" w:cstheme="majorBidi"/>
      <w:b/>
      <w:color w:val="5B9BD5" w:themeColor="accent1"/>
    </w:rPr>
  </w:style>
  <w:style w:type="paragraph" w:customStyle="1" w:styleId="Heading21">
    <w:name w:val="Heading 21"/>
    <w:basedOn w:val="Normal"/>
    <w:next w:val="Normal"/>
    <w:link w:val="Heading2Char"/>
    <w:uiPriority w:val="9"/>
    <w:semiHidden/>
    <w:unhideWhenUsed/>
    <w:qFormat/>
    <w:pPr>
      <w:keepNext/>
      <w:keepLines/>
      <w:spacing w:before="200"/>
    </w:pPr>
    <w:rPr>
      <w:rFonts w:asciiTheme="majorHAnsi" w:eastAsiaTheme="majorEastAsia" w:hAnsiTheme="majorHAnsi" w:cstheme="majorBidi"/>
      <w:b/>
      <w:color w:val="5B9BD5" w:themeColor="accent1"/>
      <w:sz w:val="26"/>
    </w:rPr>
  </w:style>
  <w:style w:type="character" w:customStyle="1" w:styleId="Termtext">
    <w:name w:val="Termtext"/>
    <w:basedOn w:val="DefaultParagraphFont"/>
    <w:uiPriority w:val="99"/>
  </w:style>
  <w:style w:type="paragraph" w:customStyle="1" w:styleId="EnvelopeReturn1">
    <w:name w:val="Envelope Return1"/>
    <w:basedOn w:val="Normal"/>
    <w:uiPriority w:val="99"/>
    <w:unhideWhenUsed/>
    <w:rPr>
      <w:rFonts w:asciiTheme="majorHAnsi" w:eastAsiaTheme="majorEastAsia" w:hAnsiTheme="majorHAnsi" w:cstheme="majorBidi"/>
      <w:sz w:val="20"/>
    </w:rPr>
  </w:style>
  <w:style w:type="character" w:customStyle="1" w:styleId="Heading1Char">
    <w:name w:val="Heading 1 Char"/>
    <w:basedOn w:val="DefaultParagraphFont"/>
    <w:link w:val="Heading11"/>
    <w:uiPriority w:val="9"/>
    <w:rPr>
      <w:rFonts w:ascii="Calibri Light" w:hAnsi="Calibri Light"/>
      <w:color w:val="2E74B5"/>
      <w:sz w:val="32"/>
    </w:rPr>
  </w:style>
  <w:style w:type="character" w:customStyle="1" w:styleId="EndnoteReference1">
    <w:name w:val="Endnote Reference1"/>
    <w:basedOn w:val="DefaultParagraphFont"/>
    <w:uiPriority w:val="99"/>
    <w:semiHidden/>
    <w:unhideWhenUsed/>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paragraph" w:styleId="Bibliography">
    <w:name w:val="Bibliography"/>
    <w:basedOn w:val="Normal"/>
    <w:next w:val="Normal"/>
    <w:uiPriority w:val="37"/>
    <w:unhideWhenUsed/>
  </w:style>
  <w:style w:type="character" w:customStyle="1" w:styleId="SubtitleChar">
    <w:name w:val="Subtitle Char"/>
    <w:basedOn w:val="DefaultParagraphFont"/>
    <w:link w:val="Subtitle"/>
    <w:uiPriority w:val="11"/>
    <w:rPr>
      <w:rFonts w:asciiTheme="majorHAnsi" w:eastAsiaTheme="majorEastAsia" w:hAnsiTheme="majorHAnsi" w:cstheme="majorBidi"/>
      <w:i/>
      <w:color w:val="5B9BD5" w:themeColor="accent1"/>
      <w:spacing w:val="15"/>
      <w:sz w:val="24"/>
    </w:rPr>
  </w:style>
  <w:style w:type="paragraph" w:customStyle="1" w:styleId="FootnoteText1">
    <w:name w:val="Footnote Text1"/>
    <w:basedOn w:val="Normal"/>
    <w:link w:val="FootnoteTextChar"/>
    <w:uiPriority w:val="99"/>
    <w:semiHidden/>
    <w:unhideWhenUsed/>
    <w:rPr>
      <w:sz w:val="20"/>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customStyle="1" w:styleId="Assignmentslevel1">
    <w:name w:val="Assignmentslevel1"/>
    <w:basedOn w:val="Normal"/>
    <w:uiPriority w:val="99"/>
    <w:pPr>
      <w:spacing w:before="100" w:after="100"/>
    </w:pPr>
  </w:style>
  <w:style w:type="paragraph" w:customStyle="1" w:styleId="APABlockQuoteSubsequentPara">
    <w:name w:val="APA Block Quote Subsequent Para"/>
    <w:basedOn w:val="APA"/>
    <w:uiPriority w:val="99"/>
    <w:pPr>
      <w:ind w:left="720"/>
    </w:pPr>
  </w:style>
  <w:style w:type="paragraph" w:styleId="BalloonText">
    <w:name w:val="Balloon Text"/>
    <w:basedOn w:val="Normal"/>
    <w:link w:val="BalloonTextChar"/>
    <w:uiPriority w:val="99"/>
    <w:rPr>
      <w:rFonts w:ascii="Segoe UI" w:hAnsi="Segoe UI" w:cs="Segoe UI"/>
      <w:sz w:val="18"/>
    </w:rPr>
  </w:style>
  <w:style w:type="character" w:customStyle="1" w:styleId="BalloonTextChar">
    <w:name w:val="Balloon Text Char"/>
    <w:basedOn w:val="DefaultParagraphFont"/>
    <w:link w:val="BalloonText"/>
    <w:uiPriority w:val="99"/>
    <w:rPr>
      <w:rFonts w:ascii="Segoe UI" w:hAnsi="Segoe UI" w:cs="Segoe UI"/>
      <w:sz w:val="18"/>
    </w:rPr>
  </w:style>
  <w:style w:type="paragraph" w:customStyle="1" w:styleId="EnvelopeAddress1">
    <w:name w:val="Envelope Address1"/>
    <w:basedOn w:val="Normal"/>
    <w:uiPriority w:val="99"/>
    <w:unhideWhenUsed/>
    <w:pPr>
      <w:ind w:left="2880"/>
    </w:pPr>
    <w:rPr>
      <w:rFonts w:asciiTheme="majorHAnsi" w:eastAsiaTheme="majorEastAsia" w:hAnsiTheme="majorHAnsi" w:cstheme="majorBidi"/>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1"/>
    <w:uiPriority w:val="99"/>
    <w:semiHidden/>
    <w:rPr>
      <w:sz w:val="20"/>
    </w:rPr>
  </w:style>
  <w:style w:type="paragraph" w:customStyle="1" w:styleId="Header1">
    <w:name w:val="Header1"/>
    <w:basedOn w:val="Normal"/>
    <w:uiPriority w:val="99"/>
    <w:pPr>
      <w:tabs>
        <w:tab w:val="center" w:pos="4320"/>
        <w:tab w:val="right" w:pos="8640"/>
      </w:tabs>
    </w:p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rPr>
      <w:rFonts w:ascii="Courier New" w:hAnsi="Courier New" w:cs="Courier New"/>
      <w:sz w:val="21"/>
    </w:rPr>
  </w:style>
  <w:style w:type="paragraph" w:customStyle="1" w:styleId="APA">
    <w:name w:val="APA"/>
    <w:basedOn w:val="BodyText"/>
    <w:uiPriority w:val="99"/>
    <w:pPr>
      <w:spacing w:after="0" w:line="480" w:lineRule="auto"/>
      <w:ind w:firstLine="720"/>
    </w:pPr>
  </w:style>
  <w:style w:type="paragraph" w:styleId="NoSpacing">
    <w:name w:val="No Spacing"/>
    <w:uiPriority w:val="1"/>
    <w:qFormat/>
  </w:style>
  <w:style w:type="character" w:styleId="IntenseEmphasis">
    <w:name w:val="Intense Emphasis"/>
    <w:basedOn w:val="DefaultParagraphFont"/>
    <w:uiPriority w:val="21"/>
    <w:qFormat/>
    <w:rPr>
      <w:b/>
      <w:i/>
      <w:color w:val="5B9BD5" w:themeColor="accent1"/>
    </w:rPr>
  </w:style>
  <w:style w:type="character" w:customStyle="1" w:styleId="Apple-converted-space">
    <w:name w:val="Apple-converted-space"/>
    <w:basedOn w:val="DefaultParagraphFont"/>
    <w:uiPriority w:val="99"/>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5B9BD5" w:themeColor="accent1"/>
      <w:spacing w:val="15"/>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5B9BD5" w:themeColor="accent1"/>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rPr>
  </w:style>
  <w:style w:type="paragraph" w:customStyle="1" w:styleId="APABlockQuote1stpara">
    <w:name w:val="APA Block Quote 1st para"/>
    <w:basedOn w:val="APA"/>
    <w:next w:val="Normal"/>
    <w:uiPriority w:val="99"/>
    <w:pPr>
      <w:ind w:left="720" w:firstLine="0"/>
    </w:pPr>
  </w:style>
  <w:style w:type="paragraph" w:styleId="BodyText">
    <w:name w:val="Body Text"/>
    <w:basedOn w:val="Normal"/>
    <w:uiPriority w:val="99"/>
    <w:pPr>
      <w:spacing w:after="120"/>
    </w:p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themeColor="text1" w:themeTint="BF"/>
      <w:sz w:val="20"/>
    </w:rPr>
  </w:style>
  <w:style w:type="paragraph" w:customStyle="1" w:styleId="APAHeading5">
    <w:name w:val="APA Heading 5"/>
    <w:basedOn w:val="APAHeader"/>
    <w:next w:val="APA"/>
    <w:uiPriority w:val="99"/>
    <w:rPr>
      <w:caps/>
    </w:rPr>
  </w:style>
  <w:style w:type="paragraph" w:customStyle="1" w:styleId="APAHeading4">
    <w:name w:val="APA Heading 4"/>
    <w:basedOn w:val="APAHeader"/>
    <w:next w:val="APA"/>
    <w:uiPriority w:val="99"/>
    <w:pPr>
      <w:ind w:firstLine="720"/>
      <w:jc w:val="left"/>
    </w:pPr>
    <w:rPr>
      <w:i/>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themeColor="text1" w:themeTint="BF"/>
      <w:sz w:val="20"/>
    </w:rPr>
  </w:style>
  <w:style w:type="paragraph" w:customStyle="1" w:styleId="APAHeading3">
    <w:name w:val="APA Heading 3"/>
    <w:basedOn w:val="APAHeader"/>
    <w:next w:val="APA"/>
    <w:uiPriority w:val="99"/>
    <w:pPr>
      <w:jc w:val="left"/>
    </w:pPr>
    <w:rPr>
      <w:i/>
    </w:rPr>
  </w:style>
  <w:style w:type="paragraph" w:styleId="Title">
    <w:name w:val="Title"/>
    <w:basedOn w:val="Normal"/>
    <w:next w:val="Normal"/>
    <w:link w:val="TitleChar"/>
    <w:uiPriority w:val="10"/>
    <w:qFormat/>
    <w:pPr>
      <w:pBdr>
        <w:bottom w:val="single" w:sz="8" w:space="0" w:color="5B9BD5" w:themeColor="accent1"/>
      </w:pBdr>
      <w:spacing w:after="300"/>
      <w:contextualSpacing/>
    </w:pPr>
    <w:rPr>
      <w:rFonts w:asciiTheme="majorHAnsi" w:eastAsiaTheme="majorEastAsia" w:hAnsiTheme="majorHAnsi" w:cstheme="majorBidi"/>
      <w:color w:val="323E4F" w:themeColor="text2" w:themeShade="BF"/>
      <w:spacing w:val="5"/>
      <w:sz w:val="52"/>
    </w:rPr>
  </w:style>
  <w:style w:type="paragraph" w:customStyle="1" w:styleId="APAHeading2">
    <w:name w:val="APA Heading 2"/>
    <w:basedOn w:val="APAHeader"/>
    <w:next w:val="APA"/>
    <w:uiPriority w:val="99"/>
    <w:rPr>
      <w:i/>
    </w:rPr>
  </w:style>
  <w:style w:type="paragraph" w:customStyle="1" w:styleId="APAAbstract">
    <w:name w:val="APA Abstract"/>
    <w:basedOn w:val="APA"/>
    <w:uiPriority w:val="99"/>
    <w:pPr>
      <w:ind w:firstLine="0"/>
    </w:pPr>
  </w:style>
  <w:style w:type="paragraph" w:customStyle="1" w:styleId="APAReference">
    <w:name w:val="APA Reference"/>
    <w:basedOn w:val="APA"/>
    <w:uiPriority w:val="99"/>
    <w:pPr>
      <w:ind w:left="720" w:hanging="720"/>
    </w:pPr>
  </w:style>
  <w:style w:type="character" w:customStyle="1" w:styleId="QuoteChar">
    <w:name w:val="Quote Char"/>
    <w:basedOn w:val="DefaultParagraphFont"/>
    <w:link w:val="Quote"/>
    <w:uiPriority w:val="29"/>
    <w:rPr>
      <w:i/>
      <w:color w:val="000000" w:themeColor="text1"/>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unningHead">
    <w:name w:val="APA Running Head"/>
    <w:basedOn w:val="Normal"/>
    <w:uiPriority w:val="99"/>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ean%20Porter\AppData\Roaming\Riverpoint%20Writer\River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Don16</b:Tag>
    <b:SourceType>Book</b:SourceType>
    <b:Guid>{41319FCA-C9D1-414A-A930-AB3217B7DBD4}</b:Guid>
    <b:Title>Intermediate Accounting </b:Title>
    <b:Year>2016</b:Year>
    <b:Author>
      <b:Author>
        <b:NameList>
          <b:Person>
            <b:Last>Kieso</b:Last>
            <b:First>Donald</b:First>
            <b:Middle>E.</b:Middle>
          </b:Person>
          <b:Person>
            <b:Last>Weygandt</b:Last>
            <b:First>Jerry</b:First>
            <b:Middle>J.</b:Middle>
          </b:Person>
          <b:Person>
            <b:Last>Warfield</b:Last>
            <b:First>Terry</b:First>
            <b:Middle>D.</b:Middle>
          </b:Person>
        </b:NameList>
      </b:Author>
    </b:Author>
    <b:City>Danvers</b:City>
    <b:Publisher>John Wiley &amp; Sons</b:Publisher>
    <b:RefOrder>1</b:RefOrder>
  </b:Source>
  <b:Source>
    <b:Tag>Jef09</b:Tag>
    <b:SourceType>DocumentFromInternetSite</b:SourceType>
    <b:Guid>{A6435C78-9704-4744-9B0F-48D1BB031C1B}</b:Guid>
    <b:Title>2004 LETTER TO SHAREHOLDERS</b:Title>
    <b:InternetSiteTitle>Securities and Exchange Commission</b:InternetSiteTitle>
    <b:Year>2009</b:Year>
    <b:Month>January</b:Month>
    <b:Day>29</b:Day>
    <b:URL>http://www.sec.gov</b:URL>
    <b:Author>
      <b:Author>
        <b:NameList>
          <b:Person>
            <b:Last>Bezos</b:Last>
            <b:First>Jeffrey</b:First>
            <b:Middle>P.</b:Middle>
          </b:Person>
        </b:NameList>
      </b:Author>
    </b:Author>
    <b:RefOrder>2</b:RefOrder>
  </b:Source>
  <b:Source>
    <b:Tag>UNI15</b:Tag>
    <b:SourceType>InternetSite</b:SourceType>
    <b:Guid>{3B0EF3F2-4AFB-4504-8F19-50973EC8F408}</b:Guid>
    <b:Title>SEC Filings</b:Title>
    <b:Year>2009</b:Year>
    <b:Author>
      <b:Author>
        <b:NameList>
          <b:Person>
            <b:Last>COMMISSION</b:Last>
            <b:First>UNITED</b:First>
            <b:Middle>STATES SECURITIES AND EXCHANGE</b:Middle>
          </b:Person>
        </b:NameList>
      </b:Author>
    </b:Author>
    <b:InternetSiteTitle>Notes to Consolidated Financial Statements</b:InternetSiteTitle>
    <b:Month>January</b:Month>
    <b:Day>29</b:Day>
    <b:URL>http://www.sec.gov</b:URL>
    <b:RefOrder>3</b:RefOrder>
  </b:Source>
</b:Sources>
</file>

<file path=customXml/itemProps1.xml><?xml version="1.0" encoding="utf-8"?>
<ds:datastoreItem xmlns:ds="http://schemas.openxmlformats.org/officeDocument/2006/customXml" ds:itemID="{212912AD-6EDF-4652-AD56-0F93A08A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Riverpoint</Template>
  <TotalTime>0</TotalTime>
  <Pages>5</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 GAAP Versus IFRS</vt:lpstr>
    </vt:vector>
  </TitlesOfParts>
  <Company>Apollogroup</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GAAP Versus IFRS</dc:title>
  <dc:subject>Paper Formatter</dc:subject>
  <dc:creator>Adrean Porter</dc:creator>
  <cp:lastModifiedBy>Bonny Musyoki</cp:lastModifiedBy>
  <cp:revision>2</cp:revision>
  <dcterms:created xsi:type="dcterms:W3CDTF">2018-01-12T08:22:00Z</dcterms:created>
  <dcterms:modified xsi:type="dcterms:W3CDTF">2018-01-12T08:22:00Z</dcterms:modified>
  <cp:category>School Papers</cp:category>
</cp:coreProperties>
</file>