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 of Small Businesses in a Troubled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Economy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Randall L. Hartman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Lock Haven University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Abstract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lack of funding available for small businesses to acquire new businesses and the lack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of attractiveness of businesses to be acquired has limited the number of small business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acquisitions. Those with cash, financing or value in their current business are in a position to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move forward in acquiring or merging with another small business. The purchasing business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can, because of the troubled economy, usually obtain the target business at a discounted value.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This is the case whether the target is a troubled business or is not a troubled business.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Successful businesses may also wish to examine target companies that are carrying net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operating losses so they can take advantage of the post acquisition tax benefit provided by IRC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Section 172, Net Operating Loss Deduction. Advisors to a buyer in these circumstances must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also be aware of IRC Section 382, Limitation on Net Operating Loss Carryforwards. Section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382 limits certain built-in losses following ownership change. Purchasers must be on the lookout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for diminished assets on the balance sheet that are worth less than the value on the tax basis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balance sheet.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This article will address issues that must be addressed by a prudent buyer during and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negotiation or due diligence review. Attorneys advising buyers should be aware of the pitfalls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and present alternative planning possibilities to protect their client. While it is almost impossible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to present an all-inclusive checklist of potential risks, the article discusses some of the more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obvious disasters and what can be done about them.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Keywords: Mergers, Acquisitions, Small Business, Buyer, Seller, Due Diligence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Acquisitions, Page 1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Acquiring a small business during times of economic hardship offers opportunity for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those with cash and value to purchase those businesses. Lenders have been cautious with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providing funds for small businesses and prospective acquirers must be vigilant in their due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diligence. This is the case regardless if the client is seeking funds from a lender or using their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own capital.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Some of the areas of the target companies that must be examined and investigated to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protect lenders and clients will be reviewed. The major areas discussed in this article are: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1. Receivables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2. Debt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3. Investments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4. Inventory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5. Equipment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6. Real Property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7. Intellectual Property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8. Warranties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Receivables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While the current economy has discounted the price of many of the current small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businesses on the market, much care must be taken to insure the value for a prospective buyer.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One of the major focuses should be on Accounts Receivable. The Net Receivables on the books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may have little to do with the ability to collect those receivables. There is a domino effect of a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troubled economy and one of the reasons a current seller is ready to dispose of his business may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be because of trouble collecting the firms receivables and a diminished cash flow that will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accompany the slow collection of receivables.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 detailed aging of the accounts receivable is a starting point for analysis of their value.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aging should be examined along with a schedule of bad debts that have been written off and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change of percentage of receivables being deemed uncollectable must be reviewed to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determine any negative trends in receivable collection.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 more thorough evaluation of collectability must be undertaken after the initial analysis.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Customers with large delinquent balances must be contacted to determine the collectability of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their balances. This of course would be done after consent by the seller in the normal course of a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non-disclosure due diligence agreement. Reliance on the customer is just the first step in helping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client evaluate the value of the receivables. A search of the bankruptcy filings in the Federal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District Court for any of the targets customers would also be in order along with a review of Dun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and Bradstreet for any negative comments and reports.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Another potential trap that needs thorough investigation is the possibility of preference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>claims made by the target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>s customers during the customers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bankruptcy (Bankruptcy Code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547). The bankruptcy code provides for a preference claim which can have payments made by a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debtor pulled back into the bankruptcy estate. There are defenses to the preference claims which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would protect the target or the buyer should customers file for bankruptcy.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Acquisitions, Page 2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One of the defenses can be made if the payments were made in the ordinary course of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business between the creditor (target) and the debtor (customer) (Bankruptcy Code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547(c)(2)).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This defense also includes payments made according to terms that are customary in the industry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of the target. Another defense is the contemporaneous exchange for new value. (Banruptcy Code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547(c)(1)) This defense is raised when the debtor and creditor intended the exchange for new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value to be contemporaneous. Care must be taken to demonstrate that the payments are not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being applied to aging receivables. It would also be wise if the target would take a purchase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money security interest in the goods being transferred to its customers (Bankruptcy Code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547(c)(3)). This strategy would give rise to the enabling loan exception defense. As with all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defenses, there are timing issues and other requirements that must be followed to be successful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raising these defenses to a preference claim.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Having this information will help the client discount the value of the receivables in both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setting the price for the business and in determining the correct book value of those receivables.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there is doubt about the collectability or uncertainty about successfully defending any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preference claims, the buyer should seek to have the seller bear a burden for un-collectability by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reducing the purchase price of the target based on unpaid receivables or successful preference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claims.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Debt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Has the total debt of the target been adequately identified and how much of it is being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assumed by the purchaser? These are two very important questions in a troubled economy. All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debt instruments should be reviewed. These include all notes, any debentures, and term loans.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Any security agreements, mortgages, deeds of trust, consignment agreements, liens and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encumbrances on any assets as well as purchase money security interests created by the target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must also be reviewed.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Great care should also be taken in reviewing the targets compliance with any restrictive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loan covenants and terms contained in the security instruments. Depending on the terms of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ownership transfer the mere change of business ownership may trigger acceleration clauses in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notes or security agreements. These issues should be addressed prior to finalization of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transfer and addressed with the lender.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Any tax deficiencies must also be identified. Were any audits conducted on the target by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any taxing authority or are there any notices of planned tax audits? If the target is a multi-state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operation, all state income tax returns should be compared to the states where the corporation is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qualified and does business.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 big part of the value to your client may be acquiring any loss carryovers from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target. If your client is a successful business, being able to reduce the tax burden is an attractive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feature of purchasing a business with federal and state loss carryovers. Great care must be taken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 evaluating the carryovers. IRC Section 382 places limitation on the amount of loss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acquiring corporation can take after a change in ownership. One of the restrictions is that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total available losses are written down to the fair value of the corporation at the date of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change in ownership. In an effort to keep the fair value at a maximum amount, owners would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make capital contributions to the corporation to maintain its value. Congress, wishing to limit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amount of the loss carryover, in Section 382(l)(1)(A) &amp; (B) provided capital contributions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are disregarded if part of a plan to avoid or limit the reductions of Section 382 and any capital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Mergers and Acquisitions, Page 3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contribution within two years of the ownership change is presumed to be part of a plan to avoid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or limit the reductions (IRC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382).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Two important points when advising clients are to make sure there were not capital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contributions to the target in the last two years and that the annual amount of the loss carryovers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will be limited to the amount of the fair value of the target times the long-term tax-exempt rate.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Investments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Does the company have an equity position in any other company? The value of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investment being carried on the books of the target is very important when determining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purchase price or structure of the business combination. Care must be taken to make sure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target has correctly valued the investment. A worthless investment being carried on the books at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purchase price or an unrealistic fair value could inflate the consideration requested from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target.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Another consideration when dealing with the targets investments focus on buy-sell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agreements or any other commitments regarding the purchase or sale of any investments.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Finding out about the targets obligation in a stock purchase subscription after settlement could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prove disastrous if the new owners must generate cash to purchase equity of other companies.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terms of any buy-sell agreement could also put the new company in a position of having to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liquidate some of its investments at a previously agreed upon price which is lower than fair value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or if the company is required to purchase some investments at a price higher than fair value.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Inventory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 very careful physical examination of the targets inventory must be made to determine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any outdated, stale, or useless items are included in the value of the inventory used when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computing the price value of the target. Close examination of the work in process inventory and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how it is determined must also be undertaken.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Included in the determination of outdated, stale or useless products, an evaluation of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seasonal sales cycles, not only for obsolescence, but also for availability of product for current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and upcoming cycles must be done. Purchase or combination with a company that is not ready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to meet the demand of the next sales cycle may result in a drastically reduce revenue stream.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Further, an analysis of individual inventory item turnover and a comparison to available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inventory will reveal the ability to fulfill the demand for popular or fast selling product. Much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like the seasonality analysis, the target should have adequate product to meet the immediate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demand of the market place.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Equipment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the target is a manufacturing company, close evaluation of the machinery and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equipment must be done. Is the equipment operating efficiently in its production of product?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client must obtain detailed records of operating costs and determine the total cost per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product line and item. Comparison to industry data can provide useful information in evaluating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efficiency of the machinery and equipment. Maintenance and replacement schedules should also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be obtained along with any agreements that relate to either the maintenance or replacement.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Acquisitions, Page 4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Repair, maintenance and productivity analysis should also be done in a comparison with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new equipment, trade-in value and operating cost per product. If a new machine is needed, do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targets employees have the technical knowledge to operate the new machinery? Does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target provide for continual training of the production line workers? If the machine is used in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production of product, what is its utilization and what are alternative production methods that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would allow the retirement of the machine?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public records at the county courthouse and with the Secretary of State in the County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and states where the company operates must be checked for Uniform Commercial Code (UCC)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filings as well as recorded liens or judgments against the target. Secured transactions impairing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any inventory, equipment, machinery and fixtures must be reviewed to insure the target can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transfer title to the purchaser (UCC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9-103).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Real Property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the business purchase includes real property, great care must be taken to assess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value of the property and any possible claims against the property. A title search of all properties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included in the deal must be done to identify the owners of record and if there are any filings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raising an issue of ownership. In addition to any filed security interests, mortgages or deeds of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trust, any filed easements, restrictions of record and any recorded leases should be identified and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examined to avoid conflict or restriction on the business operation.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Filed plats or surveys should be obtained from target or county and physical inspection of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property should be undertaken looking for encroachments onto adjacent property or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encroachments from adjacent properties onto target property. In addition to encroachments,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violations of setback and zoning requirements must also be undertaken and it must be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determined, if any exist, whether appropriate variances were issued by the appropriate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governmental body.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the property is going be developed, with construction of a building or through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subdivision, identification and availability of phone, electric, water, sewer and all other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necessary services must be ensured. The client must also find out if any adjacent or properties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within close vicinity are planning for development or if improvements are being planned.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a Phase I environmental report has been completed on the property, it should be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reviewed with an eye toward additional costs, if any, to be borne by the buyer. Sale or transfer of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commercial property is a triggering event for a Phase I report. In addition, the target should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complete an environmental questionnaire on all parcels being transferred in the current deal.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Does the Federal Emergency Management Agency identify this property as being in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flood plain and if so, does any mortgagee require an engineering certificate or federal flood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insurance prior to closing? The client must also determine if being in the flood plain will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jeopardize the planned use of the property and to what degree it might reduce potential return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from the business. (FEMA, Flood Insurance Rate Maps)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If the client is purchasing real property in an asset sale, care must be taken if a seller is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foreign entity and a Foreign Investors Real Property Tax Act (FIRPTA) certificate should be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obtained and appropriate taxes allowed for at the settlement. It is the responsibility of the buyer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(transferee) to determine if the transferor is a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>foreign person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and subject to tax withholding on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transfer. The transferee is the agent and if they fail to withhold the tax, they may be held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liable for the tax (FIRPTA; IRC at 26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897, 26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1445, and 26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6039C).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Acquisitions, Page 5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Intellectual Property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Client must verify ownership of Intellectual Property being conveyed in the transfer. All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patents, trademarks, service marks, trade names, copyrights, trade secrets, licenses, and consent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agreements and any related applications for the above mentioned intellectual property of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target must be obtained. Care must also be taken with target employees and their employment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contacts, insuring non-competition and confidentiality provisions. In addition, the provisions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that assign any patent or ownership rights of the employee to the company must be verified.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 considering any future litigation or liability costs, the target must provide all notices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given by the target and all notices of infringements received by the target company. The client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must evaluate these intellectual property issues relative to their costs, if they are assets on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balance sheet, the amortization method and the remaining useful life of each.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Warranties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All warranties given by the target must be reviewed along with the estimated warranty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expense and claims history for each product manufactured or sold by the target. Detail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information from the warranty claims made against the target and whether those claims are for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alleged or admitted defects in material, workmanship or design must be reviewed and the amount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of liability must be determined.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there any litigation pending involving the targets products? The results of all testing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used to measure product integrity, whether these tests were done internally or from an outside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testing firm, must be analyzed. The measures that the target has implemented regarding quality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control must also be reviewed and observed to guarantee compliance with the quality control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procedures.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Conclusion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An exit strategy should always be included in any acquisition agreement. If an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agreement has been reached and signed with a closing date established, a failsafe provision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allowing the buyer to cancel the purchase should be provided for. This provision would provide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for a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>material change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in any number of conditions of the target. The more specific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qualifying condition is the better. A material change should include the resignation of key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employees, loss of key customers, failure to obtain minimum revenue or profit targets,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significant increase in expenses or costs and any other conditions considered mandatory for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closing to take place.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>An other mandatory contingency is the buyer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s ability to obtain financing to close the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acquisition. Securing financing will no doubt take longer than in the past and is never assured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until the lender provides the money to the buyer. With this is mind, the buyer should try to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extend the date the agreement can be terminated.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buyer and their counsel should make every effort to mitigate the risk associated with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the acquisition of a small business in our current troubled economic situation. With a close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>examination of the issues raised herein the buyer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s counsel can help the buyer do just that,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mitigate the risk.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Acquisitions, Page 6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Journal of Finance and Accountancy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References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Bankruptcy Code; 11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547. (2010).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Creim, William B. &amp; Jones, Laurie K. (1998). Defending Preference Claims: What's Mine is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Mine --What's Yours is Negotiable. Credit and Financial Mangement Review, April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1998.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Federal Emergency Management Act; National Flood Insurance Act; 42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5121, et. seq.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(2010).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Foreign Iinvestors Real Property Tax Act; IRC at 26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897, 26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1445, and 26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6039C. (2010).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Internal Revenue Code; 26 U.S.C.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382. (2010).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Lux, Melinda Davis (2009). Representing a Buyer in an Uncertain Economy: Mitigating thr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Risk. South Carolina Lawyer, March 2009 at 20.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Ruffner, William G., Klausman, David L. &amp; Wilkes, Kevin (2009). The Evolution of Section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382 during the Current Financial Crisis. Pennsylvania CPA Journal, Summer 2009.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Uniform Commercial Code </w:t>
      </w:r>
      <w:r w:rsidRPr="003B1794">
        <w:rPr>
          <w:rFonts w:ascii="Tahoma" w:eastAsia="Times New Roman" w:hAnsi="Tahoma" w:cs="Tahoma"/>
          <w:sz w:val="20"/>
          <w:szCs w:val="20"/>
        </w:rPr>
        <w:t>�</w:t>
      </w:r>
      <w:r w:rsidRPr="003B1794">
        <w:rPr>
          <w:rFonts w:ascii="Courier New" w:eastAsia="Times New Roman" w:hAnsi="Courier New" w:cs="Courier New"/>
          <w:sz w:val="20"/>
          <w:szCs w:val="20"/>
        </w:rPr>
        <w:t xml:space="preserve"> 9-103. (2005).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Mergers and Acquisitions, Page 7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1794">
        <w:rPr>
          <w:rFonts w:ascii="Courier New" w:eastAsia="Times New Roman" w:hAnsi="Courier New" w:cs="Courier New"/>
          <w:sz w:val="20"/>
          <w:szCs w:val="20"/>
        </w:rPr>
        <w:t xml:space="preserve">Reproduced with permission of the copyright owner. Further reproduction prohibited without permission. </w:t>
      </w:r>
    </w:p>
    <w:p w:rsidR="003B1794" w:rsidRPr="003B1794" w:rsidRDefault="003B1794" w:rsidP="003B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66AF9" w:rsidRDefault="00966AF9"/>
    <w:sectPr w:rsidR="00966AF9" w:rsidSect="0096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1794"/>
    <w:rsid w:val="003B1794"/>
    <w:rsid w:val="003C7D78"/>
    <w:rsid w:val="00486EB0"/>
    <w:rsid w:val="0096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1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17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2931</Words>
  <Characters>16712</Characters>
  <Application>Microsoft Office Word</Application>
  <DocSecurity>0</DocSecurity>
  <Lines>139</Lines>
  <Paragraphs>39</Paragraphs>
  <ScaleCrop>false</ScaleCrop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</cp:lastModifiedBy>
  <cp:revision>2</cp:revision>
  <dcterms:created xsi:type="dcterms:W3CDTF">2017-06-15T09:42:00Z</dcterms:created>
  <dcterms:modified xsi:type="dcterms:W3CDTF">2017-06-15T09:42:00Z</dcterms:modified>
</cp:coreProperties>
</file>