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F7" w:rsidRDefault="002D40F7" w:rsidP="002C50FC">
      <w:pPr>
        <w:spacing w:line="480" w:lineRule="auto"/>
        <w:jc w:val="center"/>
      </w:pPr>
      <w:bookmarkStart w:id="0" w:name="_GoBack"/>
      <w:bookmarkEnd w:id="0"/>
    </w:p>
    <w:p w:rsidR="002D40F7" w:rsidRDefault="002D40F7" w:rsidP="002C50FC">
      <w:pPr>
        <w:spacing w:line="480" w:lineRule="auto"/>
        <w:jc w:val="center"/>
      </w:pPr>
    </w:p>
    <w:p w:rsidR="002D40F7" w:rsidRDefault="002D40F7" w:rsidP="002C50FC">
      <w:pPr>
        <w:spacing w:line="480" w:lineRule="auto"/>
        <w:jc w:val="center"/>
      </w:pPr>
    </w:p>
    <w:p w:rsidR="002D40F7" w:rsidRDefault="002D40F7" w:rsidP="002C50FC">
      <w:pPr>
        <w:spacing w:line="480" w:lineRule="auto"/>
        <w:jc w:val="center"/>
      </w:pPr>
    </w:p>
    <w:p w:rsidR="002D40F7" w:rsidRDefault="002D40F7" w:rsidP="002C50FC">
      <w:pPr>
        <w:spacing w:line="480" w:lineRule="auto"/>
        <w:jc w:val="center"/>
      </w:pPr>
    </w:p>
    <w:p w:rsidR="006A3654" w:rsidRPr="009115C5" w:rsidRDefault="008743E7" w:rsidP="002C50FC">
      <w:pPr>
        <w:spacing w:line="480" w:lineRule="auto"/>
        <w:jc w:val="center"/>
        <w:rPr>
          <w:rFonts w:ascii="Times New Roman" w:hAnsi="Times New Roman"/>
          <w:sz w:val="24"/>
          <w:szCs w:val="24"/>
        </w:rPr>
      </w:pPr>
      <w:r>
        <w:rPr>
          <w:rFonts w:ascii="Times New Roman" w:hAnsi="Times New Roman"/>
          <w:sz w:val="24"/>
          <w:szCs w:val="24"/>
        </w:rPr>
        <w:t>Expenditures and Revenues Matrix and Summary</w:t>
      </w:r>
    </w:p>
    <w:p w:rsidR="006A3654" w:rsidRPr="009115C5" w:rsidRDefault="006A3654" w:rsidP="006A3654">
      <w:pPr>
        <w:spacing w:line="480" w:lineRule="auto"/>
        <w:jc w:val="center"/>
        <w:rPr>
          <w:rFonts w:ascii="Times New Roman" w:hAnsi="Times New Roman"/>
          <w:sz w:val="24"/>
          <w:szCs w:val="24"/>
        </w:rPr>
      </w:pPr>
      <w:r w:rsidRPr="009115C5">
        <w:rPr>
          <w:rFonts w:ascii="Times New Roman" w:hAnsi="Times New Roman"/>
          <w:sz w:val="24"/>
          <w:szCs w:val="24"/>
        </w:rPr>
        <w:t>Alan Van Quach</w:t>
      </w:r>
    </w:p>
    <w:p w:rsidR="00FC0819" w:rsidRPr="009115C5" w:rsidRDefault="008743E7" w:rsidP="006A3654">
      <w:pPr>
        <w:spacing w:line="480" w:lineRule="auto"/>
        <w:jc w:val="center"/>
        <w:rPr>
          <w:rFonts w:ascii="Times New Roman" w:hAnsi="Times New Roman"/>
          <w:sz w:val="24"/>
          <w:szCs w:val="24"/>
        </w:rPr>
      </w:pPr>
      <w:r>
        <w:rPr>
          <w:rFonts w:ascii="Times New Roman" w:hAnsi="Times New Roman"/>
          <w:sz w:val="24"/>
          <w:szCs w:val="24"/>
        </w:rPr>
        <w:t>AJS/52</w:t>
      </w:r>
      <w:r w:rsidR="00D52062">
        <w:rPr>
          <w:rFonts w:ascii="Times New Roman" w:hAnsi="Times New Roman"/>
          <w:sz w:val="24"/>
          <w:szCs w:val="24"/>
        </w:rPr>
        <w:t xml:space="preserve">2 – </w:t>
      </w:r>
      <w:r>
        <w:rPr>
          <w:rFonts w:ascii="Times New Roman" w:hAnsi="Times New Roman"/>
          <w:sz w:val="24"/>
          <w:szCs w:val="24"/>
        </w:rPr>
        <w:t>Finance and Budgeting in Justice and Security</w:t>
      </w:r>
    </w:p>
    <w:p w:rsidR="006A3654" w:rsidRPr="009115C5" w:rsidRDefault="00BA3696" w:rsidP="006A3654">
      <w:pPr>
        <w:spacing w:line="480" w:lineRule="auto"/>
        <w:jc w:val="center"/>
        <w:rPr>
          <w:rFonts w:ascii="Times New Roman" w:hAnsi="Times New Roman"/>
          <w:sz w:val="24"/>
          <w:szCs w:val="24"/>
        </w:rPr>
      </w:pPr>
      <w:r>
        <w:rPr>
          <w:rFonts w:ascii="Times New Roman" w:hAnsi="Times New Roman"/>
          <w:sz w:val="24"/>
          <w:szCs w:val="24"/>
        </w:rPr>
        <w:t>April 1</w:t>
      </w:r>
      <w:r w:rsidR="00D52062">
        <w:rPr>
          <w:rFonts w:ascii="Times New Roman" w:hAnsi="Times New Roman"/>
          <w:sz w:val="24"/>
          <w:szCs w:val="24"/>
        </w:rPr>
        <w:t>, 2013</w:t>
      </w:r>
    </w:p>
    <w:p w:rsidR="00FC0819" w:rsidRPr="009115C5" w:rsidRDefault="008743E7" w:rsidP="006A3654">
      <w:pPr>
        <w:spacing w:line="480" w:lineRule="auto"/>
        <w:jc w:val="center"/>
        <w:rPr>
          <w:rFonts w:ascii="Times New Roman" w:hAnsi="Times New Roman"/>
          <w:sz w:val="24"/>
          <w:szCs w:val="24"/>
        </w:rPr>
      </w:pPr>
      <w:r>
        <w:rPr>
          <w:rFonts w:ascii="Times New Roman" w:hAnsi="Times New Roman"/>
          <w:sz w:val="24"/>
          <w:szCs w:val="24"/>
        </w:rPr>
        <w:t>Professor Adam Eaton</w:t>
      </w:r>
    </w:p>
    <w:p w:rsidR="006A3654" w:rsidRPr="009115C5" w:rsidRDefault="006A3654" w:rsidP="006A3654">
      <w:pPr>
        <w:spacing w:line="480" w:lineRule="auto"/>
        <w:jc w:val="center"/>
        <w:rPr>
          <w:rFonts w:ascii="Times New Roman" w:hAnsi="Times New Roman"/>
          <w:sz w:val="24"/>
          <w:szCs w:val="24"/>
        </w:rPr>
      </w:pPr>
    </w:p>
    <w:p w:rsidR="006A3654" w:rsidRPr="009115C5" w:rsidRDefault="006A3654" w:rsidP="006A3654">
      <w:pPr>
        <w:spacing w:line="480" w:lineRule="auto"/>
        <w:jc w:val="center"/>
        <w:rPr>
          <w:rFonts w:ascii="Times New Roman" w:hAnsi="Times New Roman"/>
          <w:sz w:val="24"/>
          <w:szCs w:val="24"/>
        </w:rPr>
      </w:pPr>
    </w:p>
    <w:p w:rsidR="006A3654" w:rsidRDefault="006A3654" w:rsidP="006A3654">
      <w:pPr>
        <w:spacing w:line="480" w:lineRule="auto"/>
        <w:jc w:val="center"/>
        <w:rPr>
          <w:rFonts w:ascii="Times New Roman" w:hAnsi="Times New Roman"/>
          <w:sz w:val="24"/>
          <w:szCs w:val="24"/>
        </w:rPr>
      </w:pPr>
    </w:p>
    <w:p w:rsidR="00D52062" w:rsidRPr="009115C5" w:rsidRDefault="00D52062" w:rsidP="006A3654">
      <w:pPr>
        <w:spacing w:line="480" w:lineRule="auto"/>
        <w:jc w:val="center"/>
        <w:rPr>
          <w:rFonts w:ascii="Times New Roman" w:hAnsi="Times New Roman"/>
          <w:sz w:val="24"/>
          <w:szCs w:val="24"/>
        </w:rPr>
      </w:pPr>
    </w:p>
    <w:p w:rsidR="006A3654" w:rsidRPr="009115C5" w:rsidRDefault="006A3654" w:rsidP="006A3654">
      <w:pPr>
        <w:spacing w:line="480" w:lineRule="auto"/>
        <w:jc w:val="center"/>
        <w:rPr>
          <w:rFonts w:ascii="Times New Roman" w:hAnsi="Times New Roman"/>
          <w:sz w:val="24"/>
          <w:szCs w:val="24"/>
        </w:rPr>
      </w:pPr>
    </w:p>
    <w:p w:rsidR="006A3654" w:rsidRPr="009115C5" w:rsidRDefault="006B1FE5" w:rsidP="006B1FE5">
      <w:pPr>
        <w:tabs>
          <w:tab w:val="left" w:pos="300"/>
        </w:tabs>
        <w:spacing w:line="480" w:lineRule="auto"/>
        <w:rPr>
          <w:rFonts w:ascii="Times New Roman" w:hAnsi="Times New Roman"/>
          <w:sz w:val="24"/>
          <w:szCs w:val="24"/>
        </w:rPr>
      </w:pPr>
      <w:r>
        <w:rPr>
          <w:rFonts w:ascii="Times New Roman" w:hAnsi="Times New Roman"/>
          <w:sz w:val="24"/>
          <w:szCs w:val="24"/>
        </w:rPr>
        <w:tab/>
      </w:r>
    </w:p>
    <w:p w:rsidR="006D5835" w:rsidRPr="006D5835" w:rsidRDefault="006D5835" w:rsidP="00EC3A0F">
      <w:pPr>
        <w:spacing w:before="60" w:after="60" w:line="240" w:lineRule="auto"/>
        <w:rPr>
          <w:rFonts w:ascii="Arial" w:hAnsi="Arial"/>
          <w:b/>
          <w:sz w:val="24"/>
          <w:szCs w:val="24"/>
        </w:rPr>
      </w:pPr>
    </w:p>
    <w:p w:rsidR="006D5835" w:rsidRPr="006D5835" w:rsidRDefault="006D5835" w:rsidP="006D5835">
      <w:pPr>
        <w:spacing w:before="60" w:after="60" w:line="240" w:lineRule="auto"/>
        <w:ind w:left="360"/>
        <w:rPr>
          <w:rFonts w:ascii="Arial" w:hAnsi="Arial"/>
          <w:b/>
          <w:sz w:val="24"/>
          <w:szCs w:val="24"/>
        </w:rPr>
      </w:pPr>
    </w:p>
    <w:p w:rsidR="006D5835" w:rsidRPr="006D5835" w:rsidRDefault="00264613" w:rsidP="00264613">
      <w:pPr>
        <w:spacing w:after="0" w:line="480" w:lineRule="auto"/>
        <w:rPr>
          <w:rFonts w:ascii="Times New Roman" w:hAnsi="Times New Roman"/>
          <w:sz w:val="24"/>
          <w:szCs w:val="24"/>
        </w:rPr>
      </w:pPr>
      <w:r>
        <w:rPr>
          <w:rFonts w:ascii="Times New Roman" w:hAnsi="Times New Roman"/>
          <w:sz w:val="24"/>
          <w:szCs w:val="24"/>
        </w:rPr>
        <w:lastRenderedPageBreak/>
        <w:tab/>
      </w:r>
      <w:r w:rsidR="00EC3A0F">
        <w:rPr>
          <w:rFonts w:ascii="Times New Roman" w:hAnsi="Times New Roman"/>
          <w:sz w:val="24"/>
          <w:szCs w:val="24"/>
        </w:rPr>
        <w:t xml:space="preserve">In this summary, it will discuss the three revenue sources </w:t>
      </w:r>
      <w:r w:rsidR="00DC3DB8">
        <w:rPr>
          <w:rFonts w:ascii="Times New Roman" w:hAnsi="Times New Roman"/>
          <w:sz w:val="24"/>
          <w:szCs w:val="24"/>
        </w:rPr>
        <w:t xml:space="preserve">that </w:t>
      </w:r>
      <w:r w:rsidR="00EC3A0F">
        <w:rPr>
          <w:rFonts w:ascii="Times New Roman" w:hAnsi="Times New Roman"/>
          <w:sz w:val="24"/>
          <w:szCs w:val="24"/>
        </w:rPr>
        <w:t>are income taxes, licenses and permits, and grants for the State of Illinois.</w:t>
      </w:r>
    </w:p>
    <w:p w:rsidR="006D5835" w:rsidRPr="006D5835" w:rsidRDefault="006D5835" w:rsidP="006D5835">
      <w:pPr>
        <w:numPr>
          <w:ilvl w:val="0"/>
          <w:numId w:val="2"/>
        </w:numPr>
        <w:spacing w:after="0" w:line="480" w:lineRule="auto"/>
        <w:ind w:left="1080"/>
        <w:rPr>
          <w:rFonts w:ascii="Times New Roman" w:hAnsi="Times New Roman"/>
          <w:sz w:val="24"/>
          <w:szCs w:val="24"/>
        </w:rPr>
      </w:pPr>
      <w:r w:rsidRPr="006D5835">
        <w:rPr>
          <w:rFonts w:ascii="Times New Roman" w:hAnsi="Times New Roman"/>
          <w:sz w:val="24"/>
          <w:szCs w:val="24"/>
        </w:rPr>
        <w:t>City-collected income taxes are augmented with their share of state income tax and the same is accounted for under the General or Corporate Fund, sub-categ</w:t>
      </w:r>
      <w:r w:rsidR="00790DC5">
        <w:rPr>
          <w:rFonts w:ascii="Times New Roman" w:hAnsi="Times New Roman"/>
          <w:sz w:val="24"/>
          <w:szCs w:val="24"/>
        </w:rPr>
        <w:t xml:space="preserve">ory Inter-governmental Revenue </w:t>
      </w:r>
      <w:r w:rsidR="00790DC5" w:rsidRPr="006D5835">
        <w:rPr>
          <w:rFonts w:ascii="Times New Roman" w:hAnsi="Times New Roman"/>
          <w:sz w:val="24"/>
          <w:szCs w:val="24"/>
        </w:rPr>
        <w:t>(Freeman, Shoulders, Allison, Patton &amp; Smith, Jr., 2011)</w:t>
      </w:r>
      <w:r w:rsidRPr="006D5835">
        <w:rPr>
          <w:rFonts w:ascii="Times New Roman" w:hAnsi="Times New Roman"/>
          <w:sz w:val="24"/>
          <w:szCs w:val="24"/>
        </w:rPr>
        <w:t>.</w:t>
      </w:r>
    </w:p>
    <w:p w:rsidR="006D5835" w:rsidRPr="006D5835" w:rsidRDefault="006D5835" w:rsidP="006D5835">
      <w:pPr>
        <w:numPr>
          <w:ilvl w:val="0"/>
          <w:numId w:val="2"/>
        </w:numPr>
        <w:spacing w:after="0" w:line="480" w:lineRule="auto"/>
        <w:ind w:left="1080"/>
        <w:rPr>
          <w:rFonts w:ascii="Times New Roman" w:hAnsi="Times New Roman"/>
          <w:sz w:val="24"/>
          <w:szCs w:val="24"/>
        </w:rPr>
      </w:pPr>
      <w:r w:rsidRPr="006D5835">
        <w:rPr>
          <w:rFonts w:ascii="Times New Roman" w:hAnsi="Times New Roman"/>
          <w:sz w:val="24"/>
          <w:szCs w:val="24"/>
        </w:rPr>
        <w:t>The local government itself collects a variety of licenses and permits, e.g. taxes and fees levied on utilities, hotel occupancy, city sales tax, real estate transfer tax, liquor tax, business licenses and permits, and transfers from municipal corporations.  These are included in either Corporate or Special Revenue Funds under the applicable sub-categories Public Utility T&amp;F, City Sales Tax, Transaction, Transportation, Recreation, Business Taxes, or Licenses &amp; Permits (Freeman, Shoulders, Allison, Patton &amp; Smith, Jr., 2011).</w:t>
      </w:r>
    </w:p>
    <w:p w:rsidR="006D5835" w:rsidRPr="006D5835" w:rsidRDefault="006D5835" w:rsidP="006D5835">
      <w:pPr>
        <w:numPr>
          <w:ilvl w:val="0"/>
          <w:numId w:val="2"/>
        </w:numPr>
        <w:spacing w:after="0" w:line="480" w:lineRule="auto"/>
        <w:ind w:left="1080"/>
        <w:rPr>
          <w:rFonts w:ascii="Times New Roman" w:hAnsi="Times New Roman"/>
          <w:sz w:val="24"/>
          <w:szCs w:val="24"/>
        </w:rPr>
      </w:pPr>
      <w:r w:rsidRPr="006D5835">
        <w:rPr>
          <w:rFonts w:ascii="Times New Roman" w:hAnsi="Times New Roman"/>
          <w:sz w:val="24"/>
          <w:szCs w:val="24"/>
        </w:rPr>
        <w:t>Grants may be for designated for capital expenditure, health care or educational subsidies.  A</w:t>
      </w:r>
      <w:r w:rsidR="00790DC5">
        <w:rPr>
          <w:rFonts w:ascii="Times New Roman" w:hAnsi="Times New Roman"/>
          <w:sz w:val="24"/>
          <w:szCs w:val="24"/>
        </w:rPr>
        <w:t xml:space="preserve">s such, they are tracked under </w:t>
      </w:r>
      <w:r w:rsidRPr="006D5835">
        <w:rPr>
          <w:rFonts w:ascii="Times New Roman" w:hAnsi="Times New Roman"/>
          <w:sz w:val="24"/>
          <w:szCs w:val="24"/>
        </w:rPr>
        <w:t>Government-mandated non-exchange transac</w:t>
      </w:r>
      <w:r w:rsidR="00790DC5">
        <w:rPr>
          <w:rFonts w:ascii="Times New Roman" w:hAnsi="Times New Roman"/>
          <w:sz w:val="24"/>
          <w:szCs w:val="24"/>
        </w:rPr>
        <w:t>tions in the general category Intergovernmental Transfers (City of Chicago, 2013)</w:t>
      </w:r>
      <w:r w:rsidRPr="006D5835">
        <w:rPr>
          <w:rFonts w:ascii="Times New Roman" w:hAnsi="Times New Roman"/>
          <w:sz w:val="24"/>
          <w:szCs w:val="24"/>
        </w:rPr>
        <w:t>.</w:t>
      </w:r>
    </w:p>
    <w:p w:rsidR="006D5835" w:rsidRPr="006D5835" w:rsidRDefault="006D5835" w:rsidP="006D5835">
      <w:pPr>
        <w:numPr>
          <w:ilvl w:val="0"/>
          <w:numId w:val="1"/>
        </w:numPr>
        <w:spacing w:before="60" w:after="60" w:line="240" w:lineRule="auto"/>
        <w:ind w:left="360"/>
        <w:rPr>
          <w:rFonts w:ascii="Arial" w:hAnsi="Arial"/>
          <w:b/>
          <w:sz w:val="24"/>
          <w:szCs w:val="24"/>
        </w:rPr>
      </w:pPr>
      <w:r w:rsidRPr="006D5835">
        <w:rPr>
          <w:rFonts w:ascii="Arial" w:hAnsi="Arial"/>
          <w:b/>
          <w:sz w:val="24"/>
          <w:szCs w:val="24"/>
        </w:rPr>
        <w:t>Importance of Informed Financial Decisions</w:t>
      </w:r>
    </w:p>
    <w:p w:rsidR="006D5835" w:rsidRPr="006D5835" w:rsidRDefault="006D5835" w:rsidP="006D5835">
      <w:pPr>
        <w:spacing w:before="60" w:after="60" w:line="240" w:lineRule="auto"/>
        <w:ind w:left="360"/>
        <w:rPr>
          <w:rFonts w:ascii="Arial" w:hAnsi="Arial"/>
          <w:b/>
          <w:sz w:val="24"/>
          <w:szCs w:val="24"/>
        </w:rPr>
      </w:pPr>
    </w:p>
    <w:p w:rsidR="006D5835" w:rsidRPr="006D5835" w:rsidRDefault="006025BB" w:rsidP="006D5835">
      <w:pPr>
        <w:spacing w:after="0" w:line="480" w:lineRule="auto"/>
        <w:ind w:firstLine="720"/>
        <w:rPr>
          <w:rFonts w:ascii="Times New Roman" w:hAnsi="Times New Roman"/>
          <w:sz w:val="24"/>
          <w:szCs w:val="24"/>
        </w:rPr>
      </w:pPr>
      <w:r>
        <w:rPr>
          <w:rFonts w:ascii="Times New Roman" w:hAnsi="Times New Roman"/>
          <w:sz w:val="24"/>
          <w:szCs w:val="24"/>
        </w:rPr>
        <w:t>F</w:t>
      </w:r>
      <w:r w:rsidR="006D5835" w:rsidRPr="006D5835">
        <w:rPr>
          <w:rFonts w:ascii="Times New Roman" w:hAnsi="Times New Roman"/>
          <w:sz w:val="24"/>
          <w:szCs w:val="24"/>
        </w:rPr>
        <w:t>inancial planning is a means to an end.  In the public and nonprofit sectors, the stakes are vast because those affected are so numerous.  Financial decisions can affect the welfare of every one of mil</w:t>
      </w:r>
      <w:r>
        <w:rPr>
          <w:rFonts w:ascii="Times New Roman" w:hAnsi="Times New Roman"/>
          <w:sz w:val="24"/>
          <w:szCs w:val="24"/>
        </w:rPr>
        <w:t xml:space="preserve">lions of constituents in densely </w:t>
      </w:r>
      <w:r w:rsidR="006D5835" w:rsidRPr="006D5835">
        <w:rPr>
          <w:rFonts w:ascii="Times New Roman" w:hAnsi="Times New Roman"/>
          <w:sz w:val="24"/>
          <w:szCs w:val="24"/>
        </w:rPr>
        <w:t>popu</w:t>
      </w:r>
      <w:r>
        <w:rPr>
          <w:rFonts w:ascii="Times New Roman" w:hAnsi="Times New Roman"/>
          <w:sz w:val="24"/>
          <w:szCs w:val="24"/>
        </w:rPr>
        <w:t>lated New York or Los Angeles.  I</w:t>
      </w:r>
      <w:r w:rsidR="006D5835" w:rsidRPr="006D5835">
        <w:rPr>
          <w:rFonts w:ascii="Times New Roman" w:hAnsi="Times New Roman"/>
          <w:sz w:val="24"/>
          <w:szCs w:val="24"/>
        </w:rPr>
        <w:t xml:space="preserve">ll-informed about business prospects and consumer price inflation in the coming fiscal year can lead to overestimated business activity (and business income taxes), inaccurate estimates for employment (such as the 11% blighting the future of Chicago residents and hence, raising the </w:t>
      </w:r>
      <w:r w:rsidR="006D5835" w:rsidRPr="006D5835">
        <w:rPr>
          <w:rFonts w:ascii="Times New Roman" w:hAnsi="Times New Roman"/>
          <w:sz w:val="24"/>
          <w:szCs w:val="24"/>
        </w:rPr>
        <w:lastRenderedPageBreak/>
        <w:t>demand for welfare, food stamps and make-work programs), and possibly another round of oil price inflation (with that implies for diminished vehicle demand, lower income from parking and licenses, scarcity of heating fuel in the winter months, and reduced airport user’s tax inflows).  Plainly, failing to monitor the economic health of constituents can only disrupt tax p</w:t>
      </w:r>
      <w:r>
        <w:rPr>
          <w:rFonts w:ascii="Times New Roman" w:hAnsi="Times New Roman"/>
          <w:sz w:val="24"/>
          <w:szCs w:val="24"/>
        </w:rPr>
        <w:t xml:space="preserve">rojections and lead to </w:t>
      </w:r>
      <w:r w:rsidR="006D5835" w:rsidRPr="006D5835">
        <w:rPr>
          <w:rFonts w:ascii="Times New Roman" w:hAnsi="Times New Roman"/>
          <w:sz w:val="24"/>
          <w:szCs w:val="24"/>
        </w:rPr>
        <w:t>wrong financial decisions.</w:t>
      </w:r>
    </w:p>
    <w:p w:rsidR="006D5835" w:rsidRPr="006D5835" w:rsidRDefault="006D5835" w:rsidP="006D5835">
      <w:pPr>
        <w:numPr>
          <w:ilvl w:val="0"/>
          <w:numId w:val="1"/>
        </w:numPr>
        <w:spacing w:before="60" w:after="60" w:line="240" w:lineRule="auto"/>
        <w:ind w:left="360"/>
        <w:rPr>
          <w:rFonts w:ascii="Arial" w:hAnsi="Arial"/>
          <w:b/>
          <w:sz w:val="24"/>
          <w:szCs w:val="24"/>
        </w:rPr>
      </w:pPr>
      <w:r w:rsidRPr="006D5835">
        <w:rPr>
          <w:rFonts w:ascii="Arial" w:hAnsi="Arial"/>
          <w:b/>
          <w:sz w:val="24"/>
          <w:szCs w:val="24"/>
        </w:rPr>
        <w:t>Financial Analysis Tools Used</w:t>
      </w:r>
    </w:p>
    <w:p w:rsidR="006D5835" w:rsidRPr="006D5835" w:rsidRDefault="006D5835" w:rsidP="006D5835">
      <w:pPr>
        <w:spacing w:before="60" w:after="60" w:line="240" w:lineRule="auto"/>
        <w:ind w:left="360"/>
        <w:rPr>
          <w:rFonts w:ascii="Arial" w:hAnsi="Arial"/>
          <w:b/>
          <w:sz w:val="24"/>
          <w:szCs w:val="24"/>
        </w:rPr>
      </w:pPr>
    </w:p>
    <w:p w:rsidR="006D5835" w:rsidRPr="006D5835" w:rsidRDefault="006D5835" w:rsidP="006D5835">
      <w:pPr>
        <w:spacing w:before="60" w:after="60" w:line="480" w:lineRule="auto"/>
        <w:ind w:firstLine="720"/>
        <w:rPr>
          <w:rFonts w:ascii="Times New Roman" w:hAnsi="Times New Roman"/>
          <w:sz w:val="24"/>
          <w:szCs w:val="24"/>
        </w:rPr>
      </w:pPr>
      <w:r w:rsidRPr="006D5835">
        <w:rPr>
          <w:rFonts w:ascii="Times New Roman" w:hAnsi="Times New Roman"/>
          <w:sz w:val="24"/>
          <w:szCs w:val="24"/>
        </w:rPr>
        <w:t>Rosen and Gayer (2010) suggest that bot</w:t>
      </w:r>
      <w:r w:rsidR="007067A9">
        <w:rPr>
          <w:rFonts w:ascii="Times New Roman" w:hAnsi="Times New Roman"/>
          <w:sz w:val="24"/>
          <w:szCs w:val="24"/>
        </w:rPr>
        <w:t>h positive and normative analysi</w:t>
      </w:r>
      <w:r w:rsidRPr="006D5835">
        <w:rPr>
          <w:rFonts w:ascii="Times New Roman" w:hAnsi="Times New Roman"/>
          <w:sz w:val="24"/>
          <w:szCs w:val="24"/>
        </w:rPr>
        <w:t>s apply to public-sector budgeting.  The former class of tools include</w:t>
      </w:r>
      <w:r>
        <w:rPr>
          <w:rFonts w:ascii="Times New Roman" w:hAnsi="Times New Roman"/>
          <w:sz w:val="24"/>
          <w:szCs w:val="24"/>
        </w:rPr>
        <w:t>s</w:t>
      </w:r>
      <w:r w:rsidRPr="006D5835">
        <w:rPr>
          <w:rFonts w:ascii="Times New Roman" w:hAnsi="Times New Roman"/>
          <w:sz w:val="24"/>
          <w:szCs w:val="24"/>
        </w:rPr>
        <w:t xml:space="preserve"> taking a hard look at economic theory about the substitution and income effects, how consumers behave toward “normal” or luxury goods when income prospects change, rigorous about correlation versus causation, and how reliable different research designs can be with respect to real-world phenomena as opposed to ideological pipedreams.</w:t>
      </w:r>
    </w:p>
    <w:p w:rsidR="006D5835" w:rsidRPr="006D5835" w:rsidRDefault="006D5835" w:rsidP="006D5835">
      <w:pPr>
        <w:spacing w:before="60" w:after="60" w:line="480" w:lineRule="auto"/>
        <w:ind w:firstLine="720"/>
        <w:rPr>
          <w:rFonts w:ascii="Times New Roman" w:hAnsi="Times New Roman"/>
          <w:sz w:val="24"/>
          <w:szCs w:val="24"/>
        </w:rPr>
      </w:pPr>
      <w:r w:rsidRPr="006D5835">
        <w:rPr>
          <w:rFonts w:ascii="Times New Roman" w:hAnsi="Times New Roman"/>
          <w:sz w:val="24"/>
          <w:szCs w:val="24"/>
        </w:rPr>
        <w:t>Normative analysis, on the other hand, manifests most frequently</w:t>
      </w:r>
      <w:r w:rsidR="006025BB">
        <w:rPr>
          <w:rFonts w:ascii="Times New Roman" w:hAnsi="Times New Roman"/>
          <w:sz w:val="24"/>
          <w:szCs w:val="24"/>
        </w:rPr>
        <w:t xml:space="preserve"> in the general tendency toward</w:t>
      </w:r>
      <w:r w:rsidRPr="006D5835">
        <w:rPr>
          <w:rFonts w:ascii="Times New Roman" w:hAnsi="Times New Roman"/>
          <w:sz w:val="24"/>
          <w:szCs w:val="24"/>
        </w:rPr>
        <w:t xml:space="preserve"> welfare economics.  Here, macroeconomic theory holds out the ideal of Par</w:t>
      </w:r>
      <w:r w:rsidR="006025BB">
        <w:rPr>
          <w:rFonts w:ascii="Times New Roman" w:hAnsi="Times New Roman"/>
          <w:sz w:val="24"/>
          <w:szCs w:val="24"/>
        </w:rPr>
        <w:t xml:space="preserve">eto efficiency and improvement </w:t>
      </w:r>
      <w:r w:rsidR="00DC3DB8">
        <w:rPr>
          <w:rFonts w:ascii="Times New Roman" w:hAnsi="Times New Roman"/>
          <w:sz w:val="24"/>
          <w:szCs w:val="24"/>
        </w:rPr>
        <w:t xml:space="preserve">that </w:t>
      </w:r>
      <w:r w:rsidRPr="006D5835">
        <w:rPr>
          <w:rFonts w:ascii="Times New Roman" w:hAnsi="Times New Roman"/>
          <w:sz w:val="24"/>
          <w:szCs w:val="24"/>
        </w:rPr>
        <w:t>it is possible to raise quality of life for one constituency wi</w:t>
      </w:r>
      <w:r>
        <w:rPr>
          <w:rFonts w:ascii="Times New Roman" w:hAnsi="Times New Roman"/>
          <w:sz w:val="24"/>
          <w:szCs w:val="24"/>
        </w:rPr>
        <w:t xml:space="preserve">thout making others worse off.  </w:t>
      </w:r>
      <w:r w:rsidRPr="006D5835">
        <w:rPr>
          <w:rFonts w:ascii="Times New Roman" w:hAnsi="Times New Roman"/>
          <w:sz w:val="24"/>
          <w:szCs w:val="24"/>
        </w:rPr>
        <w:t>Clearly, the current debates about the Federal deficit have been clouded by ideolog</w:t>
      </w:r>
      <w:r w:rsidR="006025BB">
        <w:rPr>
          <w:rFonts w:ascii="Times New Roman" w:hAnsi="Times New Roman"/>
          <w:sz w:val="24"/>
          <w:szCs w:val="24"/>
        </w:rPr>
        <w:t xml:space="preserve">ical biases, </w:t>
      </w:r>
      <w:r w:rsidRPr="006D5835">
        <w:rPr>
          <w:rFonts w:ascii="Times New Roman" w:hAnsi="Times New Roman"/>
          <w:sz w:val="24"/>
          <w:szCs w:val="24"/>
        </w:rPr>
        <w:t>welfare</w:t>
      </w:r>
      <w:r w:rsidR="006025BB">
        <w:rPr>
          <w:rFonts w:ascii="Times New Roman" w:hAnsi="Times New Roman"/>
          <w:sz w:val="24"/>
          <w:szCs w:val="24"/>
        </w:rPr>
        <w:t>,</w:t>
      </w:r>
      <w:r w:rsidRPr="006D5835">
        <w:rPr>
          <w:rFonts w:ascii="Times New Roman" w:hAnsi="Times New Roman"/>
          <w:sz w:val="24"/>
          <w:szCs w:val="24"/>
        </w:rPr>
        <w:t xml:space="preserve"> and health care subsidies can be increased only by ramming through higher effective tax rates (Smith &amp; Lynch, 2004).</w:t>
      </w:r>
    </w:p>
    <w:p w:rsidR="006D5835" w:rsidRPr="006D5835" w:rsidRDefault="006D5835" w:rsidP="006D5835">
      <w:pPr>
        <w:numPr>
          <w:ilvl w:val="0"/>
          <w:numId w:val="1"/>
        </w:numPr>
        <w:spacing w:before="60" w:after="60" w:line="240" w:lineRule="auto"/>
        <w:ind w:left="360"/>
        <w:rPr>
          <w:rFonts w:ascii="Arial" w:hAnsi="Arial"/>
          <w:b/>
          <w:sz w:val="24"/>
          <w:szCs w:val="24"/>
        </w:rPr>
      </w:pPr>
      <w:r w:rsidRPr="006D5835">
        <w:rPr>
          <w:rFonts w:ascii="Arial" w:hAnsi="Arial"/>
          <w:b/>
          <w:sz w:val="24"/>
          <w:szCs w:val="24"/>
        </w:rPr>
        <w:t>Organizational Financial Analysis Alternatives</w:t>
      </w:r>
    </w:p>
    <w:p w:rsidR="006D5835" w:rsidRPr="006D5835" w:rsidRDefault="006D5835" w:rsidP="006D5835">
      <w:pPr>
        <w:spacing w:before="60" w:after="60" w:line="240" w:lineRule="auto"/>
        <w:ind w:left="360"/>
        <w:rPr>
          <w:rFonts w:ascii="Arial" w:hAnsi="Arial"/>
          <w:b/>
          <w:sz w:val="24"/>
          <w:szCs w:val="24"/>
        </w:rPr>
      </w:pPr>
    </w:p>
    <w:p w:rsidR="006D5835" w:rsidRPr="006D5835" w:rsidRDefault="006025BB" w:rsidP="006D5835">
      <w:pPr>
        <w:spacing w:after="0" w:line="480" w:lineRule="auto"/>
        <w:ind w:firstLine="720"/>
        <w:rPr>
          <w:rFonts w:ascii="Times New Roman" w:hAnsi="Times New Roman"/>
          <w:sz w:val="24"/>
          <w:szCs w:val="24"/>
        </w:rPr>
      </w:pPr>
      <w:r>
        <w:rPr>
          <w:rFonts w:ascii="Times New Roman" w:hAnsi="Times New Roman"/>
          <w:sz w:val="24"/>
          <w:szCs w:val="24"/>
        </w:rPr>
        <w:t>The</w:t>
      </w:r>
      <w:r w:rsidR="006D5835" w:rsidRPr="006D5835">
        <w:rPr>
          <w:rFonts w:ascii="Times New Roman" w:hAnsi="Times New Roman"/>
          <w:sz w:val="24"/>
          <w:szCs w:val="24"/>
        </w:rPr>
        <w:t xml:space="preserve"> focus here on the two main models typical of the budgeting process.  The incremental-change model argues for gradual change and social consensus on the grounds that current-year budgets are themselves the outcome of past compromises.  The truth is, this reflects the rough-and-tumble of modern political processes.  An agency recommending a new revenue </w:t>
      </w:r>
      <w:r w:rsidR="006D5835" w:rsidRPr="006D5835">
        <w:rPr>
          <w:rFonts w:ascii="Times New Roman" w:hAnsi="Times New Roman"/>
          <w:sz w:val="24"/>
          <w:szCs w:val="24"/>
        </w:rPr>
        <w:lastRenderedPageBreak/>
        <w:t>or expenditure is virtually forced to coopt like-minded alliances or advocacy groups, rapidly exploit temporal opportunities, and bewily about getting approval at every layer of the bureaucracy.</w:t>
      </w:r>
    </w:p>
    <w:p w:rsidR="006D5835" w:rsidRPr="006D5835" w:rsidRDefault="006D5835" w:rsidP="006D5835">
      <w:pPr>
        <w:spacing w:after="0" w:line="480" w:lineRule="auto"/>
        <w:ind w:firstLine="720"/>
        <w:rPr>
          <w:rFonts w:ascii="Times New Roman" w:hAnsi="Times New Roman"/>
          <w:sz w:val="24"/>
          <w:szCs w:val="24"/>
        </w:rPr>
      </w:pPr>
      <w:r w:rsidRPr="006D5835">
        <w:rPr>
          <w:rFonts w:ascii="Times New Roman" w:hAnsi="Times New Roman"/>
          <w:sz w:val="24"/>
          <w:szCs w:val="24"/>
        </w:rPr>
        <w:t>The rational approach is goal-based, undertakes systematic analysis of alternatives, and eventually selects one that best meets those goals (Smith &amp; Lynch, 2004).  While evidently a worthwhile alternative during periods of significant change, the rational model had to adopt the satisficing variant by accommodating time limits and even feedback from those ideologically opposed to the recommendation.</w:t>
      </w:r>
    </w:p>
    <w:p w:rsidR="006D5835" w:rsidRDefault="002F65E2" w:rsidP="007067A9">
      <w:pPr>
        <w:spacing w:after="0" w:line="240" w:lineRule="auto"/>
        <w:rPr>
          <w:rFonts w:ascii="Times New Roman" w:hAnsi="Times New Roman"/>
          <w:sz w:val="24"/>
          <w:szCs w:val="24"/>
        </w:rPr>
      </w:pPr>
      <w:r>
        <w:rPr>
          <w:rFonts w:ascii="Times New Roman" w:hAnsi="Times New Roman"/>
          <w:sz w:val="24"/>
          <w:szCs w:val="24"/>
        </w:rPr>
        <w:tab/>
      </w: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7067A9" w:rsidRDefault="007067A9" w:rsidP="007067A9">
      <w:pPr>
        <w:spacing w:after="0" w:line="240" w:lineRule="auto"/>
        <w:rPr>
          <w:rFonts w:ascii="Times New Roman" w:hAnsi="Times New Roman"/>
          <w:sz w:val="24"/>
          <w:szCs w:val="24"/>
        </w:rPr>
      </w:pPr>
    </w:p>
    <w:p w:rsidR="006D5835" w:rsidRPr="006D5835" w:rsidRDefault="006D5835" w:rsidP="006D5835">
      <w:pPr>
        <w:spacing w:after="0" w:line="240" w:lineRule="auto"/>
        <w:rPr>
          <w:rFonts w:ascii="Times New Roman" w:hAnsi="Times New Roman"/>
          <w:sz w:val="24"/>
          <w:szCs w:val="24"/>
        </w:rPr>
      </w:pPr>
    </w:p>
    <w:p w:rsidR="006D5835" w:rsidRPr="006D5835" w:rsidRDefault="006D5835" w:rsidP="006D5835">
      <w:pPr>
        <w:spacing w:before="60" w:after="60" w:line="240" w:lineRule="auto"/>
        <w:jc w:val="center"/>
        <w:rPr>
          <w:rFonts w:ascii="Times New Roman" w:hAnsi="Times New Roman"/>
          <w:sz w:val="24"/>
          <w:szCs w:val="24"/>
        </w:rPr>
      </w:pPr>
      <w:r w:rsidRPr="006D5835">
        <w:rPr>
          <w:rFonts w:ascii="Times New Roman" w:hAnsi="Times New Roman"/>
          <w:sz w:val="24"/>
          <w:szCs w:val="24"/>
        </w:rPr>
        <w:lastRenderedPageBreak/>
        <w:t>References</w:t>
      </w:r>
    </w:p>
    <w:p w:rsidR="006D5835" w:rsidRDefault="006D5835" w:rsidP="006D5835">
      <w:pPr>
        <w:spacing w:before="120"/>
        <w:ind w:left="720" w:hanging="720"/>
        <w:rPr>
          <w:rFonts w:ascii="Times New Roman" w:eastAsiaTheme="minorHAnsi" w:hAnsi="Times New Roman"/>
          <w:sz w:val="24"/>
          <w:szCs w:val="24"/>
        </w:rPr>
      </w:pPr>
      <w:r w:rsidRPr="006D5835">
        <w:rPr>
          <w:rFonts w:ascii="Times New Roman" w:eastAsiaTheme="minorHAnsi" w:hAnsi="Times New Roman"/>
          <w:sz w:val="24"/>
          <w:szCs w:val="24"/>
        </w:rPr>
        <w:t>City of Chicago (2012).</w:t>
      </w:r>
      <w:r w:rsidRPr="006D5835">
        <w:rPr>
          <w:rFonts w:ascii="Times New Roman" w:eastAsiaTheme="minorHAnsi" w:hAnsi="Times New Roman"/>
          <w:i/>
          <w:sz w:val="24"/>
          <w:szCs w:val="24"/>
        </w:rPr>
        <w:t>Budget 2012 overview</w:t>
      </w:r>
      <w:r w:rsidRPr="006D5835">
        <w:rPr>
          <w:rFonts w:ascii="Times New Roman" w:eastAsiaTheme="minorHAnsi" w:hAnsi="Times New Roman"/>
          <w:sz w:val="24"/>
          <w:szCs w:val="24"/>
        </w:rPr>
        <w:t xml:space="preserve">.Retrieved from </w:t>
      </w:r>
      <w:hyperlink r:id="rId7" w:history="1">
        <w:r w:rsidR="008743E7" w:rsidRPr="00FD7DA2">
          <w:rPr>
            <w:rStyle w:val="Hyperlink"/>
            <w:rFonts w:ascii="Times New Roman" w:eastAsiaTheme="minorHAnsi" w:hAnsi="Times New Roman"/>
            <w:sz w:val="24"/>
            <w:szCs w:val="24"/>
          </w:rPr>
          <w:t>http://www.cityofchicago.org/dam/city/depts/obm/supp_info/2012%20Budget/2012BudgetOverview.pdf</w:t>
        </w:r>
      </w:hyperlink>
      <w:r w:rsidRPr="006D5835">
        <w:rPr>
          <w:rFonts w:ascii="Times New Roman" w:eastAsiaTheme="minorHAnsi" w:hAnsi="Times New Roman"/>
          <w:sz w:val="24"/>
          <w:szCs w:val="24"/>
        </w:rPr>
        <w:t>.</w:t>
      </w:r>
    </w:p>
    <w:p w:rsidR="006D5835" w:rsidRPr="006D5835" w:rsidRDefault="006D5835" w:rsidP="006D5835">
      <w:pPr>
        <w:spacing w:before="120"/>
        <w:ind w:left="720" w:hanging="720"/>
        <w:rPr>
          <w:rFonts w:ascii="Times New Roman" w:eastAsiaTheme="minorHAnsi" w:hAnsi="Times New Roman"/>
          <w:sz w:val="24"/>
          <w:szCs w:val="24"/>
        </w:rPr>
      </w:pPr>
      <w:r w:rsidRPr="006D5835">
        <w:rPr>
          <w:rFonts w:ascii="Times New Roman" w:eastAsiaTheme="minorHAnsi" w:hAnsi="Times New Roman"/>
          <w:sz w:val="24"/>
          <w:szCs w:val="24"/>
        </w:rPr>
        <w:t>Freeman, R.J., Shoulders, C.D., Allison, G.S., Patton, T.K. &amp; Smith, Jr., R.G. (2011).</w:t>
      </w:r>
      <w:r w:rsidRPr="006D5835">
        <w:rPr>
          <w:rFonts w:ascii="Times New Roman" w:eastAsiaTheme="minorHAnsi" w:hAnsi="Times New Roman"/>
          <w:i/>
          <w:sz w:val="24"/>
          <w:szCs w:val="24"/>
        </w:rPr>
        <w:t>Governmental and nonprofit accounting: Theory and practice</w:t>
      </w:r>
      <w:r w:rsidRPr="006D5835">
        <w:rPr>
          <w:rFonts w:ascii="Times New Roman" w:eastAsiaTheme="minorHAnsi" w:hAnsi="Times New Roman"/>
          <w:sz w:val="24"/>
          <w:szCs w:val="24"/>
        </w:rPr>
        <w:t xml:space="preserve"> (9</w:t>
      </w:r>
      <w:r w:rsidRPr="006D5835">
        <w:rPr>
          <w:rFonts w:ascii="Times New Roman" w:eastAsiaTheme="minorHAnsi" w:hAnsi="Times New Roman"/>
          <w:sz w:val="24"/>
          <w:szCs w:val="24"/>
          <w:vertAlign w:val="superscript"/>
        </w:rPr>
        <w:t>th</w:t>
      </w:r>
      <w:r w:rsidRPr="006D5835">
        <w:rPr>
          <w:rFonts w:ascii="Times New Roman" w:eastAsiaTheme="minorHAnsi" w:hAnsi="Times New Roman"/>
          <w:sz w:val="24"/>
          <w:szCs w:val="24"/>
        </w:rPr>
        <w:t>ed.). Upper Saddle River, NJ: Prentice-Hall, Inc.</w:t>
      </w:r>
    </w:p>
    <w:p w:rsidR="006D5835" w:rsidRPr="006D5835" w:rsidRDefault="006D5835" w:rsidP="006D5835">
      <w:pPr>
        <w:spacing w:before="120"/>
        <w:ind w:left="720" w:hanging="720"/>
        <w:rPr>
          <w:rFonts w:ascii="Times New Roman" w:eastAsiaTheme="minorHAnsi" w:hAnsi="Times New Roman"/>
          <w:sz w:val="24"/>
          <w:szCs w:val="24"/>
        </w:rPr>
      </w:pPr>
      <w:r w:rsidRPr="006D5835">
        <w:rPr>
          <w:rFonts w:ascii="Times New Roman" w:eastAsiaTheme="minorHAnsi" w:hAnsi="Times New Roman"/>
          <w:sz w:val="24"/>
          <w:szCs w:val="24"/>
        </w:rPr>
        <w:t>Rosen, H.S. &amp; Gayer, T. (2010).</w:t>
      </w:r>
      <w:r w:rsidRPr="006D5835">
        <w:rPr>
          <w:rFonts w:ascii="Times New Roman" w:eastAsiaTheme="minorHAnsi" w:hAnsi="Times New Roman"/>
          <w:i/>
          <w:sz w:val="24"/>
          <w:szCs w:val="24"/>
        </w:rPr>
        <w:t>Public finance</w:t>
      </w:r>
      <w:r w:rsidRPr="006D5835">
        <w:rPr>
          <w:rFonts w:ascii="Times New Roman" w:eastAsiaTheme="minorHAnsi" w:hAnsi="Times New Roman"/>
          <w:sz w:val="24"/>
          <w:szCs w:val="24"/>
        </w:rPr>
        <w:t xml:space="preserve"> (9</w:t>
      </w:r>
      <w:r w:rsidRPr="006D5835">
        <w:rPr>
          <w:rFonts w:ascii="Times New Roman" w:eastAsiaTheme="minorHAnsi" w:hAnsi="Times New Roman"/>
          <w:sz w:val="24"/>
          <w:szCs w:val="24"/>
          <w:vertAlign w:val="superscript"/>
        </w:rPr>
        <w:t>th</w:t>
      </w:r>
      <w:r w:rsidRPr="006D5835">
        <w:rPr>
          <w:rFonts w:ascii="Times New Roman" w:eastAsiaTheme="minorHAnsi" w:hAnsi="Times New Roman"/>
          <w:sz w:val="24"/>
          <w:szCs w:val="24"/>
        </w:rPr>
        <w:t>ed.). New York: McGraw-Hill.</w:t>
      </w:r>
    </w:p>
    <w:p w:rsidR="006D5835" w:rsidRPr="006D5835" w:rsidRDefault="006D5835" w:rsidP="006D5835">
      <w:pPr>
        <w:spacing w:before="120"/>
        <w:ind w:left="720" w:hanging="720"/>
        <w:rPr>
          <w:rFonts w:ascii="Times New Roman" w:eastAsiaTheme="minorHAnsi" w:hAnsi="Times New Roman"/>
          <w:sz w:val="24"/>
          <w:szCs w:val="24"/>
        </w:rPr>
      </w:pPr>
      <w:r w:rsidRPr="006D5835">
        <w:rPr>
          <w:rFonts w:ascii="Times New Roman" w:eastAsiaTheme="minorHAnsi" w:hAnsi="Times New Roman"/>
          <w:sz w:val="24"/>
          <w:szCs w:val="24"/>
        </w:rPr>
        <w:t xml:space="preserve">Smith, R.W. &amp; Lynch, T.D. (2004). </w:t>
      </w:r>
      <w:r w:rsidRPr="006D5835">
        <w:rPr>
          <w:rFonts w:ascii="Times New Roman" w:eastAsiaTheme="minorHAnsi" w:hAnsi="Times New Roman"/>
          <w:i/>
          <w:sz w:val="24"/>
          <w:szCs w:val="24"/>
        </w:rPr>
        <w:t>Public budgeting in America</w:t>
      </w:r>
      <w:r w:rsidRPr="006D5835">
        <w:rPr>
          <w:rFonts w:ascii="Times New Roman" w:eastAsiaTheme="minorHAnsi" w:hAnsi="Times New Roman"/>
          <w:sz w:val="24"/>
          <w:szCs w:val="24"/>
        </w:rPr>
        <w:t xml:space="preserve"> (5</w:t>
      </w:r>
      <w:r w:rsidRPr="006D5835">
        <w:rPr>
          <w:rFonts w:ascii="Times New Roman" w:eastAsiaTheme="minorHAnsi" w:hAnsi="Times New Roman"/>
          <w:sz w:val="24"/>
          <w:szCs w:val="24"/>
          <w:vertAlign w:val="superscript"/>
        </w:rPr>
        <w:t>th</w:t>
      </w:r>
      <w:r w:rsidRPr="006D5835">
        <w:rPr>
          <w:rFonts w:ascii="Times New Roman" w:eastAsiaTheme="minorHAnsi" w:hAnsi="Times New Roman"/>
          <w:sz w:val="24"/>
          <w:szCs w:val="24"/>
        </w:rPr>
        <w:t xml:space="preserve">ed.). Upper Saddle River, NJ: Prentice-Hall, Inc. </w:t>
      </w:r>
    </w:p>
    <w:sectPr w:rsidR="006D5835" w:rsidRPr="006D5835" w:rsidSect="006A365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DDA" w:rsidRDefault="00381DDA" w:rsidP="006A3654">
      <w:pPr>
        <w:spacing w:after="0" w:line="240" w:lineRule="auto"/>
      </w:pPr>
      <w:r>
        <w:separator/>
      </w:r>
    </w:p>
  </w:endnote>
  <w:endnote w:type="continuationSeparator" w:id="1">
    <w:p w:rsidR="00381DDA" w:rsidRDefault="00381DDA" w:rsidP="006A3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DDA" w:rsidRDefault="00381DDA" w:rsidP="006A3654">
      <w:pPr>
        <w:spacing w:after="0" w:line="240" w:lineRule="auto"/>
      </w:pPr>
      <w:r>
        <w:separator/>
      </w:r>
    </w:p>
  </w:footnote>
  <w:footnote w:type="continuationSeparator" w:id="1">
    <w:p w:rsidR="00381DDA" w:rsidRDefault="00381DDA" w:rsidP="006A3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4" w:rsidRDefault="008743E7">
    <w:pPr>
      <w:pStyle w:val="Header"/>
    </w:pPr>
    <w:r w:rsidRPr="008743E7">
      <w:t xml:space="preserve">Expenditures and Revenues Matrix and Summary </w:t>
    </w:r>
    <w:r w:rsidR="005F5FB0">
      <w:fldChar w:fldCharType="begin"/>
    </w:r>
    <w:r w:rsidR="007C1201">
      <w:instrText xml:space="preserve"> PAGE   \* MERGEFORMAT </w:instrText>
    </w:r>
    <w:r w:rsidR="005F5FB0">
      <w:fldChar w:fldCharType="separate"/>
    </w:r>
    <w:r w:rsidR="00CC41FE">
      <w:rPr>
        <w:noProof/>
      </w:rPr>
      <w:t>3</w:t>
    </w:r>
    <w:r w:rsidR="005F5FB0">
      <w:rPr>
        <w:noProof/>
      </w:rPr>
      <w:fldChar w:fldCharType="end"/>
    </w:r>
  </w:p>
  <w:p w:rsidR="006A3654" w:rsidRDefault="006A3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4" w:rsidRDefault="007871BB">
    <w:pPr>
      <w:pStyle w:val="Header"/>
    </w:pPr>
    <w:r>
      <w:t xml:space="preserve">Running head: </w:t>
    </w:r>
    <w:r w:rsidR="008743E7">
      <w:t>Expenditures and Revenues Matrix and Summary</w:t>
    </w:r>
    <w:r w:rsidR="005F5FB0">
      <w:fldChar w:fldCharType="begin"/>
    </w:r>
    <w:r w:rsidR="007C1201">
      <w:instrText xml:space="preserve"> PAGE   \* MERGEFORMAT </w:instrText>
    </w:r>
    <w:r w:rsidR="005F5FB0">
      <w:fldChar w:fldCharType="separate"/>
    </w:r>
    <w:r w:rsidR="00CC41FE">
      <w:rPr>
        <w:noProof/>
      </w:rPr>
      <w:t>1</w:t>
    </w:r>
    <w:r w:rsidR="005F5FB0">
      <w:rPr>
        <w:noProof/>
      </w:rPr>
      <w:fldChar w:fldCharType="end"/>
    </w:r>
  </w:p>
  <w:p w:rsidR="006A3654" w:rsidRDefault="006A3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D9F"/>
    <w:multiLevelType w:val="hybridMultilevel"/>
    <w:tmpl w:val="03B20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85298"/>
    <w:multiLevelType w:val="hybridMultilevel"/>
    <w:tmpl w:val="99640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3654"/>
    <w:rsid w:val="00002C24"/>
    <w:rsid w:val="0001692D"/>
    <w:rsid w:val="000169DD"/>
    <w:rsid w:val="00034C01"/>
    <w:rsid w:val="000368F3"/>
    <w:rsid w:val="00037CDF"/>
    <w:rsid w:val="000400E1"/>
    <w:rsid w:val="0005149E"/>
    <w:rsid w:val="00053802"/>
    <w:rsid w:val="00064D22"/>
    <w:rsid w:val="000738BF"/>
    <w:rsid w:val="00083713"/>
    <w:rsid w:val="000A3D0F"/>
    <w:rsid w:val="000A6E1E"/>
    <w:rsid w:val="000A796B"/>
    <w:rsid w:val="000B1877"/>
    <w:rsid w:val="000C27EA"/>
    <w:rsid w:val="000C3BAB"/>
    <w:rsid w:val="000D120E"/>
    <w:rsid w:val="000D6E47"/>
    <w:rsid w:val="000F20FE"/>
    <w:rsid w:val="000F3106"/>
    <w:rsid w:val="000F7FBE"/>
    <w:rsid w:val="00112AB6"/>
    <w:rsid w:val="00124DC4"/>
    <w:rsid w:val="00130A03"/>
    <w:rsid w:val="0013792A"/>
    <w:rsid w:val="00142B41"/>
    <w:rsid w:val="00144C86"/>
    <w:rsid w:val="00146F83"/>
    <w:rsid w:val="00160BCF"/>
    <w:rsid w:val="00167B19"/>
    <w:rsid w:val="001751B1"/>
    <w:rsid w:val="001774DD"/>
    <w:rsid w:val="00183023"/>
    <w:rsid w:val="001A06F8"/>
    <w:rsid w:val="001A4A63"/>
    <w:rsid w:val="001A5DBD"/>
    <w:rsid w:val="001B0B8F"/>
    <w:rsid w:val="001B31F8"/>
    <w:rsid w:val="001B48C8"/>
    <w:rsid w:val="001B50F5"/>
    <w:rsid w:val="001C0F9F"/>
    <w:rsid w:val="001D2F6B"/>
    <w:rsid w:val="001D6E58"/>
    <w:rsid w:val="001E0F72"/>
    <w:rsid w:val="001E1F60"/>
    <w:rsid w:val="001F257B"/>
    <w:rsid w:val="001F468E"/>
    <w:rsid w:val="001F6913"/>
    <w:rsid w:val="002038B8"/>
    <w:rsid w:val="00205C7C"/>
    <w:rsid w:val="00206936"/>
    <w:rsid w:val="002071B0"/>
    <w:rsid w:val="00213430"/>
    <w:rsid w:val="00217C94"/>
    <w:rsid w:val="002468BB"/>
    <w:rsid w:val="00247018"/>
    <w:rsid w:val="002526F0"/>
    <w:rsid w:val="00254EA4"/>
    <w:rsid w:val="00264613"/>
    <w:rsid w:val="00265C47"/>
    <w:rsid w:val="002A29D1"/>
    <w:rsid w:val="002A5AFF"/>
    <w:rsid w:val="002A6C8A"/>
    <w:rsid w:val="002B383C"/>
    <w:rsid w:val="002C50FC"/>
    <w:rsid w:val="002C5466"/>
    <w:rsid w:val="002D40F7"/>
    <w:rsid w:val="002E0621"/>
    <w:rsid w:val="002F572C"/>
    <w:rsid w:val="002F65E2"/>
    <w:rsid w:val="003041FA"/>
    <w:rsid w:val="00311E1D"/>
    <w:rsid w:val="003308EB"/>
    <w:rsid w:val="00332B09"/>
    <w:rsid w:val="00332D18"/>
    <w:rsid w:val="003409E5"/>
    <w:rsid w:val="00354229"/>
    <w:rsid w:val="00363E25"/>
    <w:rsid w:val="003649AF"/>
    <w:rsid w:val="00371C10"/>
    <w:rsid w:val="00371D47"/>
    <w:rsid w:val="00381DDA"/>
    <w:rsid w:val="00382441"/>
    <w:rsid w:val="003877EC"/>
    <w:rsid w:val="003A0A79"/>
    <w:rsid w:val="003A3C5A"/>
    <w:rsid w:val="003A78D3"/>
    <w:rsid w:val="003B177B"/>
    <w:rsid w:val="003C21BA"/>
    <w:rsid w:val="003D7080"/>
    <w:rsid w:val="003E532C"/>
    <w:rsid w:val="003E7F15"/>
    <w:rsid w:val="003F0CBE"/>
    <w:rsid w:val="003F31DA"/>
    <w:rsid w:val="00412B62"/>
    <w:rsid w:val="00420B4B"/>
    <w:rsid w:val="00421C65"/>
    <w:rsid w:val="004255F9"/>
    <w:rsid w:val="0043139B"/>
    <w:rsid w:val="004323AE"/>
    <w:rsid w:val="00462314"/>
    <w:rsid w:val="004658C5"/>
    <w:rsid w:val="00470EDB"/>
    <w:rsid w:val="004842D9"/>
    <w:rsid w:val="00485B88"/>
    <w:rsid w:val="0049421E"/>
    <w:rsid w:val="00495B24"/>
    <w:rsid w:val="00497144"/>
    <w:rsid w:val="004B18B4"/>
    <w:rsid w:val="004B7911"/>
    <w:rsid w:val="004C1864"/>
    <w:rsid w:val="00507430"/>
    <w:rsid w:val="00511571"/>
    <w:rsid w:val="0052415F"/>
    <w:rsid w:val="005340BB"/>
    <w:rsid w:val="00540142"/>
    <w:rsid w:val="005501E5"/>
    <w:rsid w:val="00581E15"/>
    <w:rsid w:val="00585828"/>
    <w:rsid w:val="005970C1"/>
    <w:rsid w:val="005C0282"/>
    <w:rsid w:val="005D2762"/>
    <w:rsid w:val="005E11EB"/>
    <w:rsid w:val="005F5FB0"/>
    <w:rsid w:val="005F6909"/>
    <w:rsid w:val="006025BB"/>
    <w:rsid w:val="006107FE"/>
    <w:rsid w:val="006268B1"/>
    <w:rsid w:val="00627A4E"/>
    <w:rsid w:val="00654C61"/>
    <w:rsid w:val="006571C5"/>
    <w:rsid w:val="00675964"/>
    <w:rsid w:val="00686AA6"/>
    <w:rsid w:val="006A07DF"/>
    <w:rsid w:val="006A3654"/>
    <w:rsid w:val="006B1FE5"/>
    <w:rsid w:val="006C1209"/>
    <w:rsid w:val="006D3B1A"/>
    <w:rsid w:val="006D5835"/>
    <w:rsid w:val="006D5926"/>
    <w:rsid w:val="006E589E"/>
    <w:rsid w:val="0070228E"/>
    <w:rsid w:val="007067A9"/>
    <w:rsid w:val="0071063F"/>
    <w:rsid w:val="00712220"/>
    <w:rsid w:val="00716DEB"/>
    <w:rsid w:val="0073299C"/>
    <w:rsid w:val="0074342B"/>
    <w:rsid w:val="007451F8"/>
    <w:rsid w:val="0075648A"/>
    <w:rsid w:val="007622E4"/>
    <w:rsid w:val="00776003"/>
    <w:rsid w:val="00781621"/>
    <w:rsid w:val="007871BB"/>
    <w:rsid w:val="00787753"/>
    <w:rsid w:val="00787A1E"/>
    <w:rsid w:val="00790DC5"/>
    <w:rsid w:val="00792781"/>
    <w:rsid w:val="007A038F"/>
    <w:rsid w:val="007A249E"/>
    <w:rsid w:val="007C1201"/>
    <w:rsid w:val="007C2D9A"/>
    <w:rsid w:val="007C651D"/>
    <w:rsid w:val="007D2EBD"/>
    <w:rsid w:val="007D7B2C"/>
    <w:rsid w:val="007E78C6"/>
    <w:rsid w:val="00806ACB"/>
    <w:rsid w:val="00821197"/>
    <w:rsid w:val="00822C8E"/>
    <w:rsid w:val="00832EE9"/>
    <w:rsid w:val="00837907"/>
    <w:rsid w:val="00862AFD"/>
    <w:rsid w:val="0086779D"/>
    <w:rsid w:val="008743E7"/>
    <w:rsid w:val="00876220"/>
    <w:rsid w:val="00883295"/>
    <w:rsid w:val="00887456"/>
    <w:rsid w:val="00893955"/>
    <w:rsid w:val="00893E2F"/>
    <w:rsid w:val="00895923"/>
    <w:rsid w:val="008A1B6B"/>
    <w:rsid w:val="008A4401"/>
    <w:rsid w:val="008A6915"/>
    <w:rsid w:val="008B3626"/>
    <w:rsid w:val="008D47E6"/>
    <w:rsid w:val="008D6D48"/>
    <w:rsid w:val="008D702D"/>
    <w:rsid w:val="008F2E88"/>
    <w:rsid w:val="008F6747"/>
    <w:rsid w:val="008F7E36"/>
    <w:rsid w:val="009115C5"/>
    <w:rsid w:val="00914571"/>
    <w:rsid w:val="00926035"/>
    <w:rsid w:val="00951643"/>
    <w:rsid w:val="00954AE0"/>
    <w:rsid w:val="00960B19"/>
    <w:rsid w:val="00971B42"/>
    <w:rsid w:val="00972AB0"/>
    <w:rsid w:val="009734F6"/>
    <w:rsid w:val="00976272"/>
    <w:rsid w:val="009821C1"/>
    <w:rsid w:val="009E739F"/>
    <w:rsid w:val="009F10F7"/>
    <w:rsid w:val="00A12172"/>
    <w:rsid w:val="00A3502D"/>
    <w:rsid w:val="00A51435"/>
    <w:rsid w:val="00A70C2B"/>
    <w:rsid w:val="00A850C8"/>
    <w:rsid w:val="00A85E77"/>
    <w:rsid w:val="00A87E80"/>
    <w:rsid w:val="00A9299D"/>
    <w:rsid w:val="00AA18E3"/>
    <w:rsid w:val="00AC4F7A"/>
    <w:rsid w:val="00AD3565"/>
    <w:rsid w:val="00AF06A1"/>
    <w:rsid w:val="00AF4D89"/>
    <w:rsid w:val="00B01B11"/>
    <w:rsid w:val="00B01B24"/>
    <w:rsid w:val="00B1002B"/>
    <w:rsid w:val="00B1185D"/>
    <w:rsid w:val="00B276FC"/>
    <w:rsid w:val="00B2790F"/>
    <w:rsid w:val="00B439C2"/>
    <w:rsid w:val="00B44B0E"/>
    <w:rsid w:val="00B607A5"/>
    <w:rsid w:val="00B66ED6"/>
    <w:rsid w:val="00B9621F"/>
    <w:rsid w:val="00BA3696"/>
    <w:rsid w:val="00BD1616"/>
    <w:rsid w:val="00BD1988"/>
    <w:rsid w:val="00BD284C"/>
    <w:rsid w:val="00C06E70"/>
    <w:rsid w:val="00C21981"/>
    <w:rsid w:val="00C40941"/>
    <w:rsid w:val="00C42B28"/>
    <w:rsid w:val="00C61882"/>
    <w:rsid w:val="00C7350C"/>
    <w:rsid w:val="00CA3083"/>
    <w:rsid w:val="00CA42B5"/>
    <w:rsid w:val="00CA5228"/>
    <w:rsid w:val="00CB027B"/>
    <w:rsid w:val="00CC41FE"/>
    <w:rsid w:val="00CD1FFE"/>
    <w:rsid w:val="00CD7956"/>
    <w:rsid w:val="00CF265F"/>
    <w:rsid w:val="00CF73F0"/>
    <w:rsid w:val="00D042B8"/>
    <w:rsid w:val="00D15297"/>
    <w:rsid w:val="00D17871"/>
    <w:rsid w:val="00D20570"/>
    <w:rsid w:val="00D3180E"/>
    <w:rsid w:val="00D347A6"/>
    <w:rsid w:val="00D36CDD"/>
    <w:rsid w:val="00D37B5F"/>
    <w:rsid w:val="00D52062"/>
    <w:rsid w:val="00D60BDE"/>
    <w:rsid w:val="00D87A91"/>
    <w:rsid w:val="00DA4879"/>
    <w:rsid w:val="00DB1465"/>
    <w:rsid w:val="00DB6E4E"/>
    <w:rsid w:val="00DC3DB8"/>
    <w:rsid w:val="00DD0DC2"/>
    <w:rsid w:val="00DD491D"/>
    <w:rsid w:val="00DE2CCC"/>
    <w:rsid w:val="00DE4F88"/>
    <w:rsid w:val="00DF288B"/>
    <w:rsid w:val="00DF365C"/>
    <w:rsid w:val="00E03019"/>
    <w:rsid w:val="00E07D0E"/>
    <w:rsid w:val="00E14BBC"/>
    <w:rsid w:val="00E36ECA"/>
    <w:rsid w:val="00E37C12"/>
    <w:rsid w:val="00E437AD"/>
    <w:rsid w:val="00E54CEA"/>
    <w:rsid w:val="00E60B11"/>
    <w:rsid w:val="00E70A87"/>
    <w:rsid w:val="00E7597F"/>
    <w:rsid w:val="00E86E2A"/>
    <w:rsid w:val="00EA3632"/>
    <w:rsid w:val="00EA5694"/>
    <w:rsid w:val="00EC2BDA"/>
    <w:rsid w:val="00EC3A0F"/>
    <w:rsid w:val="00EC5EB6"/>
    <w:rsid w:val="00ED0485"/>
    <w:rsid w:val="00ED4B31"/>
    <w:rsid w:val="00EF28F6"/>
    <w:rsid w:val="00F16ECC"/>
    <w:rsid w:val="00F1779E"/>
    <w:rsid w:val="00F2675B"/>
    <w:rsid w:val="00F46856"/>
    <w:rsid w:val="00F55630"/>
    <w:rsid w:val="00F809DB"/>
    <w:rsid w:val="00FA78CA"/>
    <w:rsid w:val="00FA7D78"/>
    <w:rsid w:val="00FC06A5"/>
    <w:rsid w:val="00FC0819"/>
    <w:rsid w:val="00FC2E52"/>
    <w:rsid w:val="00FC3007"/>
    <w:rsid w:val="00FD2293"/>
    <w:rsid w:val="00FE61C8"/>
    <w:rsid w:val="00FF1784"/>
    <w:rsid w:val="00FF2F70"/>
    <w:rsid w:val="00FF4735"/>
    <w:rsid w:val="00FF7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54"/>
  </w:style>
  <w:style w:type="paragraph" w:styleId="Footer">
    <w:name w:val="footer"/>
    <w:basedOn w:val="Normal"/>
    <w:link w:val="FooterChar"/>
    <w:uiPriority w:val="99"/>
    <w:unhideWhenUsed/>
    <w:rsid w:val="006A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54"/>
  </w:style>
  <w:style w:type="character" w:styleId="Emphasis">
    <w:name w:val="Emphasis"/>
    <w:uiPriority w:val="20"/>
    <w:qFormat/>
    <w:rsid w:val="00CD1FFE"/>
    <w:rPr>
      <w:i/>
      <w:iCs/>
    </w:rPr>
  </w:style>
  <w:style w:type="character" w:styleId="Hyperlink">
    <w:name w:val="Hyperlink"/>
    <w:uiPriority w:val="99"/>
    <w:unhideWhenUsed/>
    <w:rsid w:val="00CD1FFE"/>
    <w:rPr>
      <w:color w:val="0000FF"/>
      <w:u w:val="single"/>
    </w:rPr>
  </w:style>
  <w:style w:type="character" w:customStyle="1" w:styleId="apple-converted-space">
    <w:name w:val="apple-converted-space"/>
    <w:basedOn w:val="DefaultParagraphFont"/>
    <w:rsid w:val="00911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54"/>
  </w:style>
  <w:style w:type="paragraph" w:styleId="Footer">
    <w:name w:val="footer"/>
    <w:basedOn w:val="Normal"/>
    <w:link w:val="FooterChar"/>
    <w:uiPriority w:val="99"/>
    <w:unhideWhenUsed/>
    <w:rsid w:val="006A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54"/>
  </w:style>
  <w:style w:type="character" w:styleId="Emphasis">
    <w:name w:val="Emphasis"/>
    <w:uiPriority w:val="20"/>
    <w:qFormat/>
    <w:rsid w:val="00CD1FFE"/>
    <w:rPr>
      <w:i/>
      <w:iCs/>
    </w:rPr>
  </w:style>
  <w:style w:type="character" w:styleId="Hyperlink">
    <w:name w:val="Hyperlink"/>
    <w:uiPriority w:val="99"/>
    <w:unhideWhenUsed/>
    <w:rsid w:val="00CD1FFE"/>
    <w:rPr>
      <w:color w:val="0000FF"/>
      <w:u w:val="single"/>
    </w:rPr>
  </w:style>
  <w:style w:type="character" w:customStyle="1" w:styleId="apple-converted-space">
    <w:name w:val="apple-converted-space"/>
    <w:basedOn w:val="DefaultParagraphFont"/>
    <w:rsid w:val="009115C5"/>
  </w:style>
</w:styles>
</file>

<file path=word/webSettings.xml><?xml version="1.0" encoding="utf-8"?>
<w:webSettings xmlns:r="http://schemas.openxmlformats.org/officeDocument/2006/relationships" xmlns:w="http://schemas.openxmlformats.org/wordprocessingml/2006/main">
  <w:divs>
    <w:div w:id="11911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ofchicago.org/dam/city/depts/obm/supp_info/2012%20Budget/2012BudgetOverview.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Los Angeles County DPH</Company>
  <LinksUpToDate>false</LinksUpToDate>
  <CharactersWithSpaces>5077</CharactersWithSpaces>
  <SharedDoc>false</SharedDoc>
  <HLinks>
    <vt:vector size="12" baseType="variant">
      <vt:variant>
        <vt:i4>3407977</vt:i4>
      </vt:variant>
      <vt:variant>
        <vt:i4>3</vt:i4>
      </vt:variant>
      <vt:variant>
        <vt:i4>0</vt:i4>
      </vt:variant>
      <vt:variant>
        <vt:i4>5</vt:i4>
      </vt:variant>
      <vt:variant>
        <vt:lpwstr>http://positivereinforcement.wordpress.com/2008/02/22/positive</vt:lpwstr>
      </vt:variant>
      <vt:variant>
        <vt:lpwstr/>
      </vt:variant>
      <vt:variant>
        <vt:i4>1048653</vt:i4>
      </vt:variant>
      <vt:variant>
        <vt:i4>0</vt:i4>
      </vt:variant>
      <vt:variant>
        <vt:i4>0</vt:i4>
      </vt:variant>
      <vt:variant>
        <vt:i4>5</vt:i4>
      </vt:variant>
      <vt:variant>
        <vt:lpwstr>http://smallbusiness.chron.com/examples-negative-reinforcement-workplace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cmstemp</dc:creator>
  <cp:lastModifiedBy>Marl</cp:lastModifiedBy>
  <cp:revision>2</cp:revision>
  <cp:lastPrinted>2012-05-14T20:05:00Z</cp:lastPrinted>
  <dcterms:created xsi:type="dcterms:W3CDTF">2017-03-24T05:01:00Z</dcterms:created>
  <dcterms:modified xsi:type="dcterms:W3CDTF">2017-03-24T05:01:00Z</dcterms:modified>
</cp:coreProperties>
</file>