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F9" w:rsidRDefault="009B7E1F" w:rsidP="009B7E1F">
      <w:pPr>
        <w:jc w:val="center"/>
        <w:rPr>
          <w:b/>
          <w:sz w:val="36"/>
          <w:szCs w:val="36"/>
        </w:rPr>
      </w:pPr>
      <w:r w:rsidRPr="009B7E1F">
        <w:rPr>
          <w:b/>
          <w:sz w:val="36"/>
          <w:szCs w:val="36"/>
        </w:rPr>
        <w:t>Nursing Education Seminar II</w:t>
      </w:r>
      <w:r>
        <w:rPr>
          <w:b/>
          <w:sz w:val="36"/>
          <w:szCs w:val="36"/>
        </w:rPr>
        <w:t xml:space="preserve">: </w:t>
      </w:r>
      <w:r w:rsidRPr="009B7E1F">
        <w:rPr>
          <w:b/>
          <w:sz w:val="36"/>
          <w:szCs w:val="36"/>
        </w:rPr>
        <w:t>Learning Domains</w:t>
      </w:r>
    </w:p>
    <w:p w:rsidR="009B7E1F" w:rsidRDefault="009B7E1F" w:rsidP="009B7E1F">
      <w:pPr>
        <w:pStyle w:val="NoSpacing"/>
        <w:spacing w:after="120"/>
      </w:pPr>
      <w:r w:rsidRPr="00CF16E8">
        <w:rPr>
          <w:rFonts w:ascii="Times New Roman" w:hAnsi="Times New Roman"/>
          <w:sz w:val="24"/>
          <w:szCs w:val="24"/>
        </w:rPr>
        <w:t>While objectives level the information to be learned, domains of learning represent the areas in which one learns. The three learning domains are cognitive, which represents intellectual knowledge; psychomotor, which represents knowledge that requires kinesthetic or hands-on application; and affective, which represents knowledge that is assimilated through a change in attitude.</w:t>
      </w:r>
    </w:p>
    <w:p w:rsidR="009B7E1F" w:rsidRDefault="009B7E1F" w:rsidP="009B7E1F">
      <w:pPr>
        <w:pStyle w:val="NoSpacing"/>
        <w:spacing w:after="120"/>
      </w:pPr>
      <w:r w:rsidRPr="00CF16E8">
        <w:rPr>
          <w:rFonts w:ascii="Times New Roman" w:hAnsi="Times New Roman"/>
          <w:sz w:val="24"/>
          <w:szCs w:val="24"/>
        </w:rPr>
        <w:t>When a student learns the physiology of the infectious process, it is cognitive knowledge. Psychomotor learning is exemplified when a student learns to change a dressing over an infected wound. Affective learning is demonstrated by a student who changes lifestyle habits to decrease the transmission of infection or a student who learns to be nonjudgmental toward patients with specific infections.</w:t>
      </w:r>
    </w:p>
    <w:p w:rsidR="007F090F" w:rsidRDefault="009B7E1F" w:rsidP="009B7E1F">
      <w:pPr>
        <w:pStyle w:val="NoSpacing"/>
        <w:spacing w:after="120"/>
        <w:rPr>
          <w:rFonts w:ascii="Times New Roman" w:hAnsi="Times New Roman"/>
          <w:sz w:val="24"/>
          <w:szCs w:val="24"/>
        </w:rPr>
      </w:pPr>
      <w:r w:rsidRPr="00CF16E8">
        <w:rPr>
          <w:rFonts w:ascii="Times New Roman" w:hAnsi="Times New Roman"/>
          <w:sz w:val="24"/>
          <w:szCs w:val="24"/>
        </w:rPr>
        <w:t xml:space="preserve">Since objectives must be measurable, words like </w:t>
      </w:r>
      <w:r w:rsidRPr="00CF16E8">
        <w:rPr>
          <w:rFonts w:ascii="Times New Roman" w:hAnsi="Times New Roman"/>
          <w:i/>
          <w:sz w:val="24"/>
          <w:szCs w:val="24"/>
        </w:rPr>
        <w:t>know</w:t>
      </w:r>
      <w:r w:rsidRPr="00CF16E8">
        <w:rPr>
          <w:rFonts w:ascii="Times New Roman" w:hAnsi="Times New Roman"/>
          <w:sz w:val="24"/>
          <w:szCs w:val="24"/>
        </w:rPr>
        <w:t xml:space="preserve"> and </w:t>
      </w:r>
      <w:r w:rsidRPr="00CF16E8">
        <w:rPr>
          <w:rFonts w:ascii="Times New Roman" w:hAnsi="Times New Roman"/>
          <w:i/>
          <w:sz w:val="24"/>
          <w:szCs w:val="24"/>
        </w:rPr>
        <w:t>understand</w:t>
      </w:r>
      <w:r w:rsidRPr="00CF16E8">
        <w:rPr>
          <w:rFonts w:ascii="Times New Roman" w:hAnsi="Times New Roman"/>
          <w:sz w:val="24"/>
          <w:szCs w:val="24"/>
        </w:rPr>
        <w:t xml:space="preserve"> are not suitable objective verbs</w:t>
      </w:r>
      <w:r>
        <w:rPr>
          <w:rFonts w:ascii="Times New Roman" w:hAnsi="Times New Roman"/>
          <w:sz w:val="24"/>
          <w:szCs w:val="24"/>
        </w:rPr>
        <w:t>.R</w:t>
      </w:r>
      <w:r w:rsidRPr="00CF16E8">
        <w:rPr>
          <w:rFonts w:ascii="Times New Roman" w:hAnsi="Times New Roman"/>
          <w:sz w:val="24"/>
          <w:szCs w:val="24"/>
        </w:rPr>
        <w:t>equiring a student to describe the pathophysiologic process and list the signs and symptoms of an infection are examples of measurable objectives. Clear and well-written objectives best communicate the educational focus and intent of the instruction and inform both student and instructor as to how knowledge will be evaluated.</w:t>
      </w:r>
    </w:p>
    <w:p w:rsidR="00D65892" w:rsidRDefault="00D65892" w:rsidP="009B7E1F">
      <w:pPr>
        <w:pStyle w:val="NoSpacing"/>
        <w:spacing w:after="120"/>
        <w:rPr>
          <w:rFonts w:ascii="Times New Roman" w:hAnsi="Times New Roman"/>
          <w:sz w:val="24"/>
          <w:szCs w:val="24"/>
        </w:rPr>
      </w:pPr>
    </w:p>
    <w:p w:rsidR="00D65892" w:rsidRPr="00D65892" w:rsidRDefault="00D65892" w:rsidP="00D65892">
      <w:pPr>
        <w:pStyle w:val="NoSpacing"/>
        <w:spacing w:after="120"/>
        <w:rPr>
          <w:b/>
          <w:sz w:val="28"/>
          <w:szCs w:val="28"/>
        </w:rPr>
      </w:pPr>
      <w:r w:rsidRPr="00D65892">
        <w:rPr>
          <w:b/>
          <w:sz w:val="28"/>
          <w:szCs w:val="28"/>
        </w:rPr>
        <w:t>Nursing Education Seminar II: Lesson Plan Template</w:t>
      </w:r>
    </w:p>
    <w:p w:rsidR="00D65892" w:rsidRDefault="00D65892" w:rsidP="00D65892">
      <w:pPr>
        <w:pStyle w:val="NoSpacing"/>
        <w:spacing w:after="120"/>
      </w:pPr>
      <w:r>
        <w:t>Use this template to map out your class time frame. Each topic should have its own template.    You can duplicate and use as many pages as you need to outline your class content.</w:t>
      </w:r>
    </w:p>
    <w:p w:rsidR="00D65892" w:rsidRDefault="00D65892" w:rsidP="00D65892">
      <w:pPr>
        <w:pStyle w:val="NoSpacing"/>
        <w:spacing w:after="120"/>
      </w:pPr>
    </w:p>
    <w:p w:rsidR="00D65892" w:rsidRPr="00D65892" w:rsidRDefault="00D65892" w:rsidP="00D65892">
      <w:pPr>
        <w:pStyle w:val="NoSpacing"/>
        <w:spacing w:after="120"/>
        <w:rPr>
          <w:b/>
          <w:color w:val="FF0000"/>
        </w:rPr>
      </w:pPr>
      <w:r w:rsidRPr="00D65892">
        <w:rPr>
          <w:b/>
          <w:color w:val="FF0000"/>
        </w:rPr>
        <w:t>Topic: (Use Part 1 topic)</w:t>
      </w:r>
    </w:p>
    <w:p w:rsidR="00D65892" w:rsidRDefault="00D65892" w:rsidP="00D65892">
      <w:pPr>
        <w:pStyle w:val="NoSpacing"/>
        <w:spacing w:after="120"/>
      </w:pPr>
    </w:p>
    <w:p w:rsidR="00D65892" w:rsidRDefault="00D65892" w:rsidP="00D65892">
      <w:pPr>
        <w:pStyle w:val="NoSpacing"/>
        <w:spacing w:after="120"/>
        <w:rPr>
          <w:u w:val="single"/>
        </w:rPr>
      </w:pPr>
      <w:r w:rsidRPr="00D65892">
        <w:rPr>
          <w:u w:val="single"/>
        </w:rPr>
        <w:t>Learner Objective</w:t>
      </w:r>
      <w:r>
        <w:tab/>
      </w:r>
      <w:r w:rsidRPr="00D65892">
        <w:rPr>
          <w:u w:val="single"/>
        </w:rPr>
        <w:t>Timeframe</w:t>
      </w:r>
      <w:r>
        <w:tab/>
      </w:r>
      <w:r w:rsidRPr="00D65892">
        <w:rPr>
          <w:u w:val="single"/>
        </w:rPr>
        <w:t>Teaching Strategy</w:t>
      </w:r>
      <w:r>
        <w:tab/>
      </w:r>
      <w:r w:rsidRPr="00D65892">
        <w:rPr>
          <w:u w:val="single"/>
        </w:rPr>
        <w:t>Evaluation Method</w:t>
      </w:r>
    </w:p>
    <w:p w:rsidR="00D65892" w:rsidRDefault="00D65892" w:rsidP="00D65892">
      <w:pPr>
        <w:pStyle w:val="NoSpacing"/>
        <w:spacing w:after="120"/>
        <w:rPr>
          <w:u w:val="single"/>
        </w:rPr>
      </w:pPr>
    </w:p>
    <w:p w:rsidR="00D65892" w:rsidRDefault="00D65892" w:rsidP="00D65892">
      <w:pPr>
        <w:pStyle w:val="NoSpacing"/>
        <w:spacing w:after="120"/>
        <w:rPr>
          <w:u w:val="single"/>
        </w:rPr>
      </w:pPr>
    </w:p>
    <w:p w:rsidR="00D65892" w:rsidRDefault="00D65892" w:rsidP="00D65892">
      <w:pPr>
        <w:pStyle w:val="NoSpacing"/>
        <w:spacing w:after="120"/>
        <w:rPr>
          <w:u w:val="single"/>
        </w:rPr>
      </w:pPr>
    </w:p>
    <w:p w:rsidR="00D65892" w:rsidRDefault="00D65892" w:rsidP="00D65892">
      <w:pPr>
        <w:pStyle w:val="NoSpacing"/>
        <w:spacing w:after="120"/>
        <w:rPr>
          <w:b/>
        </w:rPr>
      </w:pPr>
    </w:p>
    <w:p w:rsidR="00D65892" w:rsidRPr="00D65892" w:rsidRDefault="00D65892" w:rsidP="00D65892">
      <w:pPr>
        <w:pStyle w:val="NoSpacing"/>
        <w:spacing w:after="120"/>
        <w:rPr>
          <w:b/>
        </w:rPr>
      </w:pPr>
      <w:r w:rsidRPr="00D65892">
        <w:rPr>
          <w:b/>
        </w:rPr>
        <w:t xml:space="preserve">Please use the same way that Part 1 was done but </w:t>
      </w:r>
      <w:r>
        <w:rPr>
          <w:b/>
        </w:rPr>
        <w:t xml:space="preserve">Part 2 has a little bit different instructions. </w:t>
      </w:r>
      <w:r w:rsidRPr="00D65892">
        <w:rPr>
          <w:b/>
        </w:rPr>
        <w:t xml:space="preserve">Use the A-B-C-D method of writing objectives. The objectives should incorporate Bloom's taxonomy, be written at the appropriate level for the audience, </w:t>
      </w:r>
      <w:r w:rsidRPr="00D65892">
        <w:rPr>
          <w:b/>
          <w:color w:val="FF0000"/>
          <w:u w:val="single"/>
        </w:rPr>
        <w:t>and include at least two learning domains</w:t>
      </w:r>
      <w:r w:rsidRPr="00D65892">
        <w:rPr>
          <w:b/>
        </w:rPr>
        <w:t>(cognitive, psychomotor, and affective</w:t>
      </w:r>
      <w:r>
        <w:rPr>
          <w:b/>
        </w:rPr>
        <w:t>).</w:t>
      </w:r>
    </w:p>
    <w:p w:rsidR="00D65892" w:rsidRPr="00D65892" w:rsidRDefault="00D65892" w:rsidP="00D65892">
      <w:pPr>
        <w:pStyle w:val="NoSpacing"/>
        <w:spacing w:after="120"/>
        <w:rPr>
          <w:b/>
        </w:rPr>
      </w:pPr>
    </w:p>
    <w:p w:rsidR="00D65892" w:rsidRPr="00D65892" w:rsidRDefault="00D65892" w:rsidP="00D65892">
      <w:pPr>
        <w:pStyle w:val="NoSpacing"/>
        <w:spacing w:after="120"/>
        <w:rPr>
          <w:b/>
          <w:color w:val="FF0000"/>
        </w:rPr>
      </w:pPr>
      <w:r w:rsidRPr="00D65892">
        <w:rPr>
          <w:b/>
        </w:rPr>
        <w:t>Map out a class time frame, outlining when to cover each of the content areas. Refer to "NUR-649E – Nursing Education Seminar II: Lesson Plan Template."</w:t>
      </w:r>
      <w:r>
        <w:rPr>
          <w:b/>
        </w:rPr>
        <w:t xml:space="preserve"> (</w:t>
      </w:r>
      <w:r w:rsidRPr="00D65892">
        <w:rPr>
          <w:b/>
          <w:color w:val="FF0000"/>
        </w:rPr>
        <w:t xml:space="preserve">Instructions are in this document right above). </w:t>
      </w:r>
    </w:p>
    <w:p w:rsidR="00D65892" w:rsidRPr="00D65892" w:rsidRDefault="00D65892" w:rsidP="00D65892">
      <w:pPr>
        <w:pStyle w:val="NoSpacing"/>
        <w:spacing w:after="120"/>
        <w:rPr>
          <w:b/>
        </w:rPr>
      </w:pPr>
    </w:p>
    <w:p w:rsidR="00D65892" w:rsidRPr="00D65892" w:rsidRDefault="00D65892" w:rsidP="00D65892">
      <w:pPr>
        <w:pStyle w:val="NoSpacing"/>
        <w:spacing w:after="120"/>
        <w:rPr>
          <w:b/>
          <w:color w:val="FF0000"/>
          <w:sz w:val="28"/>
          <w:szCs w:val="28"/>
        </w:rPr>
      </w:pPr>
      <w:r>
        <w:rPr>
          <w:b/>
          <w:color w:val="FF0000"/>
          <w:sz w:val="28"/>
          <w:szCs w:val="28"/>
        </w:rPr>
        <w:t xml:space="preserve">***** </w:t>
      </w:r>
      <w:r w:rsidRPr="00D65892">
        <w:rPr>
          <w:b/>
          <w:color w:val="FF0000"/>
          <w:sz w:val="28"/>
          <w:szCs w:val="28"/>
        </w:rPr>
        <w:t>In addition to the content area, include the class time frame:</w:t>
      </w:r>
    </w:p>
    <w:p w:rsidR="00D65892" w:rsidRPr="00D65892" w:rsidRDefault="00D65892" w:rsidP="00D65892">
      <w:pPr>
        <w:pStyle w:val="NoSpacing"/>
        <w:spacing w:after="120"/>
        <w:rPr>
          <w:b/>
          <w:color w:val="FF0000"/>
          <w:sz w:val="28"/>
          <w:szCs w:val="28"/>
        </w:rPr>
      </w:pPr>
      <w:r w:rsidRPr="00D65892">
        <w:rPr>
          <w:b/>
          <w:color w:val="FF0000"/>
          <w:sz w:val="28"/>
          <w:szCs w:val="28"/>
        </w:rPr>
        <w:t>1.Time frame for covering each topic area</w:t>
      </w:r>
    </w:p>
    <w:p w:rsidR="00D65892" w:rsidRPr="00D65892" w:rsidRDefault="00D65892" w:rsidP="00D65892">
      <w:pPr>
        <w:pStyle w:val="NoSpacing"/>
        <w:spacing w:after="120"/>
        <w:rPr>
          <w:b/>
          <w:color w:val="FF0000"/>
          <w:sz w:val="28"/>
          <w:szCs w:val="28"/>
        </w:rPr>
      </w:pPr>
      <w:r w:rsidRPr="00D65892">
        <w:rPr>
          <w:b/>
          <w:color w:val="FF0000"/>
          <w:sz w:val="28"/>
          <w:szCs w:val="28"/>
        </w:rPr>
        <w:t>2.Teaching strategy for each objective</w:t>
      </w:r>
    </w:p>
    <w:p w:rsidR="00D65892" w:rsidRPr="00D65892" w:rsidRDefault="00D65892" w:rsidP="00D65892">
      <w:pPr>
        <w:pStyle w:val="NoSpacing"/>
        <w:spacing w:after="120"/>
        <w:rPr>
          <w:b/>
          <w:color w:val="FF0000"/>
          <w:sz w:val="28"/>
          <w:szCs w:val="28"/>
        </w:rPr>
      </w:pPr>
      <w:r w:rsidRPr="00D65892">
        <w:rPr>
          <w:b/>
          <w:color w:val="FF0000"/>
          <w:sz w:val="28"/>
          <w:szCs w:val="28"/>
        </w:rPr>
        <w:t>3.How the learning will be evaluated</w:t>
      </w:r>
    </w:p>
    <w:p w:rsidR="00D65892" w:rsidRPr="00D65892" w:rsidRDefault="00D65892" w:rsidP="00D65892">
      <w:pPr>
        <w:pStyle w:val="NoSpacing"/>
        <w:spacing w:after="120"/>
        <w:rPr>
          <w:b/>
          <w:color w:val="FF0000"/>
          <w:sz w:val="28"/>
          <w:szCs w:val="28"/>
        </w:rPr>
      </w:pPr>
    </w:p>
    <w:p w:rsidR="00D65892" w:rsidRPr="00D65892" w:rsidRDefault="00D65892" w:rsidP="00D65892">
      <w:pPr>
        <w:pStyle w:val="NoSpacing"/>
        <w:spacing w:after="120"/>
        <w:rPr>
          <w:rFonts w:ascii="Berlin Sans FB Demi" w:hAnsi="Berlin Sans FB Demi"/>
          <w:b/>
          <w:color w:val="FF0000"/>
          <w:sz w:val="32"/>
          <w:szCs w:val="32"/>
        </w:rPr>
      </w:pPr>
      <w:r w:rsidRPr="00D65892">
        <w:rPr>
          <w:rFonts w:ascii="Berlin Sans FB Demi" w:hAnsi="Berlin Sans FB Demi"/>
          <w:b/>
          <w:color w:val="FF0000"/>
          <w:sz w:val="32"/>
          <w:szCs w:val="32"/>
        </w:rPr>
        <w:t>Include rationale for each selected instruction and the evaluation method used.</w:t>
      </w:r>
      <w:bookmarkStart w:id="0" w:name="_GoBack"/>
      <w:bookmarkEnd w:id="0"/>
      <w:r w:rsidRPr="00D65892">
        <w:rPr>
          <w:rFonts w:ascii="Berlin Sans FB Demi" w:hAnsi="Berlin Sans FB Demi"/>
          <w:b/>
          <w:color w:val="FF0000"/>
          <w:sz w:val="32"/>
          <w:szCs w:val="32"/>
        </w:rPr>
        <w:t xml:space="preserve">Must use 3 scholarly articles that are 5 years or less old. </w:t>
      </w:r>
    </w:p>
    <w:p w:rsidR="00D65892" w:rsidRPr="00D65892" w:rsidRDefault="00D65892" w:rsidP="00D65892">
      <w:pPr>
        <w:pStyle w:val="NoSpacing"/>
        <w:spacing w:after="120"/>
        <w:rPr>
          <w:rFonts w:ascii="Berlin Sans FB Demi" w:hAnsi="Berlin Sans FB Demi"/>
          <w:b/>
          <w:sz w:val="32"/>
          <w:szCs w:val="32"/>
        </w:rPr>
      </w:pPr>
    </w:p>
    <w:p w:rsidR="00D65892" w:rsidRPr="00D65892" w:rsidRDefault="00D65892" w:rsidP="00D65892">
      <w:pPr>
        <w:pStyle w:val="NoSpacing"/>
        <w:spacing w:after="120"/>
        <w:rPr>
          <w:b/>
        </w:rPr>
      </w:pPr>
    </w:p>
    <w:p w:rsidR="00D65892" w:rsidRPr="00D65892" w:rsidRDefault="00D65892" w:rsidP="00D65892">
      <w:pPr>
        <w:pStyle w:val="NoSpacing"/>
        <w:spacing w:after="120"/>
        <w:rPr>
          <w:b/>
        </w:rPr>
      </w:pPr>
    </w:p>
    <w:p w:rsidR="00D65892" w:rsidRPr="00D65892" w:rsidRDefault="00D65892" w:rsidP="00D65892">
      <w:pPr>
        <w:pStyle w:val="NoSpacing"/>
        <w:spacing w:after="120"/>
        <w:rPr>
          <w:b/>
        </w:rPr>
      </w:pPr>
    </w:p>
    <w:p w:rsidR="00D65892" w:rsidRPr="00D65892" w:rsidRDefault="00D65892" w:rsidP="00D65892">
      <w:pPr>
        <w:pStyle w:val="NoSpacing"/>
        <w:spacing w:after="120"/>
        <w:rPr>
          <w:b/>
        </w:rPr>
      </w:pPr>
    </w:p>
    <w:p w:rsidR="00D65892" w:rsidRPr="00D65892" w:rsidRDefault="00D65892" w:rsidP="00D65892">
      <w:pPr>
        <w:pStyle w:val="NoSpacing"/>
        <w:spacing w:after="120"/>
        <w:rPr>
          <w:b/>
        </w:rPr>
      </w:pPr>
    </w:p>
    <w:p w:rsidR="00D65892" w:rsidRPr="00D65892" w:rsidRDefault="00D65892" w:rsidP="00D65892">
      <w:pPr>
        <w:pStyle w:val="NoSpacing"/>
        <w:spacing w:after="120"/>
        <w:rPr>
          <w:b/>
        </w:rPr>
      </w:pPr>
    </w:p>
    <w:p w:rsidR="00D65892" w:rsidRPr="00D65892" w:rsidRDefault="00D65892" w:rsidP="00D65892">
      <w:pPr>
        <w:pStyle w:val="NoSpacing"/>
        <w:spacing w:after="120"/>
        <w:rPr>
          <w:b/>
        </w:rPr>
      </w:pPr>
      <w:r w:rsidRPr="00D65892">
        <w:rPr>
          <w:b/>
        </w:rPr>
        <w:tab/>
      </w:r>
      <w:r w:rsidRPr="00D65892">
        <w:rPr>
          <w:b/>
        </w:rPr>
        <w:tab/>
      </w:r>
      <w:r w:rsidRPr="00D65892">
        <w:rPr>
          <w:b/>
        </w:rPr>
        <w:tab/>
      </w:r>
    </w:p>
    <w:p w:rsidR="00D65892" w:rsidRPr="00D65892" w:rsidRDefault="00D65892" w:rsidP="00D65892">
      <w:pPr>
        <w:pStyle w:val="NoSpacing"/>
        <w:spacing w:after="120"/>
        <w:rPr>
          <w:b/>
        </w:rPr>
      </w:pPr>
    </w:p>
    <w:p w:rsidR="00D65892" w:rsidRPr="00D65892" w:rsidRDefault="00D65892" w:rsidP="009B7E1F">
      <w:pPr>
        <w:pStyle w:val="NoSpacing"/>
        <w:spacing w:after="120"/>
        <w:rPr>
          <w:b/>
        </w:rPr>
      </w:pPr>
    </w:p>
    <w:sectPr w:rsidR="00D65892" w:rsidRPr="00D65892" w:rsidSect="00723B6D">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33E" w:rsidRDefault="0093733E" w:rsidP="00E3078E">
      <w:pPr>
        <w:spacing w:after="0"/>
      </w:pPr>
      <w:r>
        <w:separator/>
      </w:r>
    </w:p>
  </w:endnote>
  <w:endnote w:type="continuationSeparator" w:id="1">
    <w:p w:rsidR="0093733E" w:rsidRDefault="0093733E" w:rsidP="00E307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sig w:usb0="00000000" w:usb1="00000000" w:usb2="00000000" w:usb3="00000000" w:csb0="00000000" w:csb1="00000000"/>
  </w:font>
  <w:font w:name="Berlin Sans FB Demi">
    <w:altName w:val="Candara"/>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Pr="00723B6D" w:rsidRDefault="00723B6D" w:rsidP="00723B6D">
    <w:pPr>
      <w:jc w:val="center"/>
    </w:pPr>
    <w:r w:rsidRPr="00723B6D">
      <w:t>© 201</w:t>
    </w:r>
    <w:r w:rsidR="00C562AD">
      <w:t>6</w:t>
    </w:r>
    <w:r w:rsidRPr="00723B6D">
      <w:t>. Grand Canyon University. All Rights Reserved.</w:t>
    </w:r>
  </w:p>
  <w:p w:rsidR="00723B6D" w:rsidRDefault="0072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33E" w:rsidRDefault="0093733E" w:rsidP="00E3078E">
      <w:pPr>
        <w:spacing w:after="0"/>
      </w:pPr>
      <w:r>
        <w:separator/>
      </w:r>
    </w:p>
  </w:footnote>
  <w:footnote w:type="continuationSeparator" w:id="1">
    <w:p w:rsidR="0093733E" w:rsidRDefault="0093733E" w:rsidP="00E307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8E" w:rsidRDefault="00E3078E" w:rsidP="002A3A3D">
    <w:pPr>
      <w:pStyle w:val="Header"/>
    </w:pPr>
  </w:p>
  <w:p w:rsidR="00E91BB7" w:rsidRDefault="00E91BB7" w:rsidP="002A3A3D">
    <w:pPr>
      <w:pStyle w:val="Header"/>
    </w:pPr>
  </w:p>
  <w:p w:rsidR="00E91BB7" w:rsidRDefault="00E91BB7" w:rsidP="002A3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Default="00723B6D">
    <w:pPr>
      <w:pStyle w:val="Header"/>
    </w:pPr>
    <w:r>
      <w:rPr>
        <w:noProof/>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rsidR="00723B6D" w:rsidRDefault="00723B6D">
    <w:pPr>
      <w:pStyle w:val="Header"/>
    </w:pPr>
  </w:p>
  <w:p w:rsidR="00723B6D" w:rsidRDefault="00723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168BF"/>
    <w:multiLevelType w:val="multilevel"/>
    <w:tmpl w:val="4E882F00"/>
    <w:lvl w:ilvl="0">
      <w:start w:val="1"/>
      <w:numFmt w:val="bullet"/>
      <w:lvlText w:val=""/>
      <w:lvlJc w:val="left"/>
      <w:pPr>
        <w:ind w:left="360" w:hanging="360"/>
      </w:pPr>
      <w:rPr>
        <w:rFonts w:ascii="Symbol" w:hAnsi="Symbol" w:hint="default"/>
        <w:sz w:val="16"/>
        <w:szCs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D93063"/>
    <w:rsid w:val="000310F3"/>
    <w:rsid w:val="000465AC"/>
    <w:rsid w:val="000B3382"/>
    <w:rsid w:val="001968F5"/>
    <w:rsid w:val="002A3A3D"/>
    <w:rsid w:val="003A6734"/>
    <w:rsid w:val="00465373"/>
    <w:rsid w:val="004E59F7"/>
    <w:rsid w:val="0055210F"/>
    <w:rsid w:val="005B58DC"/>
    <w:rsid w:val="005D688D"/>
    <w:rsid w:val="006B7B81"/>
    <w:rsid w:val="00723B6D"/>
    <w:rsid w:val="007F090F"/>
    <w:rsid w:val="00805AA5"/>
    <w:rsid w:val="008C2F5E"/>
    <w:rsid w:val="00916D19"/>
    <w:rsid w:val="009177AC"/>
    <w:rsid w:val="0093733E"/>
    <w:rsid w:val="0095250F"/>
    <w:rsid w:val="009853F9"/>
    <w:rsid w:val="009B7E1F"/>
    <w:rsid w:val="009F6C41"/>
    <w:rsid w:val="00AE30FC"/>
    <w:rsid w:val="00B43341"/>
    <w:rsid w:val="00BC3487"/>
    <w:rsid w:val="00BD5403"/>
    <w:rsid w:val="00C16584"/>
    <w:rsid w:val="00C562AD"/>
    <w:rsid w:val="00C94A4D"/>
    <w:rsid w:val="00C957CA"/>
    <w:rsid w:val="00CB3DCC"/>
    <w:rsid w:val="00D078DF"/>
    <w:rsid w:val="00D2581D"/>
    <w:rsid w:val="00D56996"/>
    <w:rsid w:val="00D65892"/>
    <w:rsid w:val="00D93063"/>
    <w:rsid w:val="00DD18BF"/>
    <w:rsid w:val="00DE3731"/>
    <w:rsid w:val="00E3078E"/>
    <w:rsid w:val="00E91BB7"/>
    <w:rsid w:val="00F94CC8"/>
    <w:rsid w:val="00FB286A"/>
    <w:rsid w:val="00FE29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uiPriority w:val="34"/>
    <w:qFormat/>
    <w:rsid w:val="00C562AD"/>
    <w:pPr>
      <w:spacing w:after="0"/>
      <w:ind w:left="720"/>
      <w:contextualSpacing/>
    </w:pPr>
    <w:rPr>
      <w:rFonts w:eastAsia="Times New Roman"/>
      <w:szCs w:val="24"/>
    </w:rPr>
  </w:style>
  <w:style w:type="paragraph" w:styleId="NoSpacing">
    <w:name w:val="No Spacing"/>
    <w:uiPriority w:val="1"/>
    <w:qFormat/>
    <w:rsid w:val="009B7E1F"/>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NUR-647E</TermName>
          <TermId>540e1936-7643-4a45-8ad0-d5e96d02d630</TermId>
        </TermInfo>
      </Terms>
    </DocumentSubjectTaxHTField0>
    <DocumentStatusTaxHTField0 xmlns="http://schemas.microsoft.com/sharepoint/v3">
      <Terms xmlns="http://schemas.microsoft.com/office/infopath/2007/PartnerControls"/>
    </DocumentStatusTaxHTField0>
    <TaxCatchAll xmlns="30a82cfc-8d0b-455e-b705-4035c60ff9fd">
      <Value>2</Value>
      <Value>66</Value>
      <Value>2809</Value>
      <Value>1</Value>
      <Value>3</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282C222B2BF764BA1135C71521C9592" ma:contentTypeVersion="5" ma:contentTypeDescription="Create a new document." ma:contentTypeScope="" ma:versionID="d1fc4a555251730b0bab5c8bb9ccc4cc">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412FD-19CA-4974-8A00-6813C0D75888}">
  <ds:schemaRefs>
    <ds:schemaRef ds:uri="http://schemas.microsoft.com/sharepoint/events"/>
  </ds:schemaRefs>
</ds:datastoreItem>
</file>

<file path=customXml/itemProps2.xml><?xml version="1.0" encoding="utf-8"?>
<ds:datastoreItem xmlns:ds="http://schemas.openxmlformats.org/officeDocument/2006/customXml" ds:itemID="{DFFD5D8F-6C72-45AA-BB06-202F04565A6E}">
  <ds:schemaRefs>
    <ds:schemaRef ds:uri="http://schemas.microsoft.com/office/2006/metadata/customXsn"/>
  </ds:schemaRefs>
</ds:datastoreItem>
</file>

<file path=customXml/itemProps3.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72684E06-BD4E-4145-BAFF-89833A49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AE2935-652D-42F6-AFDE-C5D6AD680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lastModifiedBy>Marlyne</cp:lastModifiedBy>
  <cp:revision>2</cp:revision>
  <dcterms:created xsi:type="dcterms:W3CDTF">2018-04-07T06:20:00Z</dcterms:created>
  <dcterms:modified xsi:type="dcterms:W3CDTF">2018-04-07T06:20:00Z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0x010100A30BC5E90BED914E81F4B67CDEADBEEF00A282C222B2BF764BA1135C71521C9592</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2809;#NUR-647E|540e1936-7643-4a45-8ad0-d5e96d02d630</vt:lpwstr>
  </property>
</Properties>
</file>