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Pr="00886888" w:rsidRDefault="0092026C" w:rsidP="00886888">
      <w:pPr>
        <w:numPr>
          <w:ilvl w:val="0"/>
          <w:numId w:val="1"/>
        </w:numPr>
        <w:rPr>
          <w:rFonts w:ascii="Times New Roman" w:hAnsi="Times New Roman" w:cs="Times New Roman"/>
          <w:sz w:val="40"/>
          <w:szCs w:val="40"/>
        </w:rPr>
      </w:pPr>
      <w:r w:rsidRPr="00886888">
        <w:fldChar w:fldCharType="begin"/>
      </w:r>
      <w:r w:rsidR="00886888" w:rsidRPr="00886888">
        <w:instrText xml:space="preserve"> HYPERLINK "https://learn.westcoastuniversity.edu/webapps/rubric/do/course/gradeRubric?mode=grid&amp;isPopup=true&amp;rubricCount=1&amp;prefix=_1390004_1&amp;course_id=_28454_1&amp;maxValue=100.0&amp;rubricId=_81986_1&amp;viewOnly=true&amp;displayGrades=false&amp;type=grading&amp;rubricAssoId=_94623_1" </w:instrText>
      </w:r>
      <w:r w:rsidRPr="00886888">
        <w:fldChar w:fldCharType="separate"/>
      </w:r>
      <w:r w:rsidR="00886888" w:rsidRPr="00886888">
        <w:rPr>
          <w:rStyle w:val="Hyperlink"/>
        </w:rPr>
        <w:t xml:space="preserve">Grid </w:t>
      </w:r>
      <w:proofErr w:type="spellStart"/>
      <w:r w:rsidR="00886888" w:rsidRPr="00886888">
        <w:rPr>
          <w:rStyle w:val="Hyperlink"/>
        </w:rPr>
        <w:t>View</w:t>
      </w:r>
      <w:r w:rsidRPr="00886888">
        <w:fldChar w:fldCharType="end"/>
      </w:r>
      <w:bookmarkStart w:id="0" w:name="_GoBack"/>
      <w:r w:rsidR="00886888" w:rsidRPr="00886888">
        <w:rPr>
          <w:rFonts w:ascii="Times New Roman" w:hAnsi="Times New Roman" w:cs="Times New Roman"/>
          <w:sz w:val="40"/>
          <w:szCs w:val="40"/>
        </w:rPr>
        <w:t>Rubric</w:t>
      </w:r>
      <w:proofErr w:type="spellEnd"/>
    </w:p>
    <w:bookmarkEnd w:id="0"/>
    <w:p w:rsidR="00886888" w:rsidRPr="00886888" w:rsidRDefault="0092026C" w:rsidP="00886888">
      <w:pPr>
        <w:numPr>
          <w:ilvl w:val="0"/>
          <w:numId w:val="1"/>
        </w:numPr>
      </w:pPr>
      <w:r w:rsidRPr="00886888">
        <w:fldChar w:fldCharType="begin"/>
      </w:r>
      <w:r w:rsidR="00886888" w:rsidRPr="00886888">
        <w:instrText xml:space="preserve"> HYPERLINK "https://learn.westcoastuniversity.edu/webapps/rubric/do/course/gradeRubric?mode=grid&amp;isPopup=true&amp;rubricCount=1&amp;prefix=_1390004_1&amp;course_id=_28454_1&amp;maxValue=100.0&amp;rubricId=_81986_1&amp;viewOnly=true&amp;displayGrades=false&amp;type=grading&amp;rubricAssoId=_94623_1" </w:instrText>
      </w:r>
      <w:r w:rsidRPr="00886888">
        <w:fldChar w:fldCharType="separate"/>
      </w:r>
      <w:r w:rsidR="00886888" w:rsidRPr="00886888">
        <w:rPr>
          <w:rStyle w:val="Hyperlink"/>
        </w:rPr>
        <w:t>List View</w:t>
      </w:r>
      <w:r w:rsidRPr="00886888">
        <w:fldChar w:fldCharType="end"/>
      </w:r>
    </w:p>
    <w:tbl>
      <w:tblPr>
        <w:tblW w:w="13680" w:type="dxa"/>
        <w:tblCellSpacing w:w="15" w:type="dxa"/>
        <w:tblInd w:w="-135" w:type="dxa"/>
        <w:tblCellMar>
          <w:top w:w="15" w:type="dxa"/>
          <w:left w:w="15" w:type="dxa"/>
          <w:bottom w:w="15" w:type="dxa"/>
          <w:right w:w="15" w:type="dxa"/>
        </w:tblCellMar>
        <w:tblLook w:val="04A0"/>
      </w:tblPr>
      <w:tblGrid>
        <w:gridCol w:w="2745"/>
        <w:gridCol w:w="2730"/>
        <w:gridCol w:w="2730"/>
        <w:gridCol w:w="2730"/>
        <w:gridCol w:w="2745"/>
      </w:tblGrid>
      <w:tr w:rsidR="00886888" w:rsidRPr="00886888" w:rsidTr="00886888">
        <w:trPr>
          <w:tblHeader/>
          <w:tblCellSpacing w:w="15" w:type="dxa"/>
        </w:trPr>
        <w:tc>
          <w:tcPr>
            <w:tcW w:w="1000" w:type="pct"/>
            <w:tcBorders>
              <w:left w:val="nil"/>
            </w:tcBorders>
            <w:tcMar>
              <w:top w:w="45" w:type="dxa"/>
              <w:left w:w="180" w:type="dxa"/>
              <w:bottom w:w="45" w:type="dxa"/>
              <w:right w:w="180" w:type="dxa"/>
            </w:tcMar>
            <w:vAlign w:val="center"/>
            <w:hideMark/>
          </w:tcPr>
          <w:p w:rsidR="00886888" w:rsidRPr="00886888" w:rsidRDefault="00886888" w:rsidP="00886888">
            <w:pPr>
              <w:rPr>
                <w:b/>
                <w:bCs/>
              </w:rPr>
            </w:pPr>
            <w:r w:rsidRPr="00886888">
              <w:rPr>
                <w:b/>
                <w:bCs/>
              </w:rPr>
              <w:t> </w:t>
            </w:r>
          </w:p>
        </w:tc>
        <w:tc>
          <w:tcPr>
            <w:tcW w:w="1000" w:type="pct"/>
            <w:tcBorders>
              <w:left w:val="single" w:sz="6" w:space="0" w:color="CCCCCC"/>
            </w:tcBorders>
            <w:tcMar>
              <w:top w:w="45" w:type="dxa"/>
              <w:left w:w="180" w:type="dxa"/>
              <w:bottom w:w="45" w:type="dxa"/>
              <w:right w:w="180" w:type="dxa"/>
            </w:tcMar>
            <w:vAlign w:val="center"/>
            <w:hideMark/>
          </w:tcPr>
          <w:p w:rsidR="00886888" w:rsidRPr="00886888" w:rsidRDefault="00886888" w:rsidP="00886888">
            <w:pPr>
              <w:rPr>
                <w:b/>
                <w:bCs/>
              </w:rPr>
            </w:pPr>
            <w:r w:rsidRPr="00886888">
              <w:rPr>
                <w:b/>
                <w:bCs/>
              </w:rPr>
              <w:t>Meets or Exceeds Expectations</w:t>
            </w:r>
          </w:p>
        </w:tc>
        <w:tc>
          <w:tcPr>
            <w:tcW w:w="1000" w:type="pct"/>
            <w:tcBorders>
              <w:left w:val="single" w:sz="6" w:space="0" w:color="CCCCCC"/>
            </w:tcBorders>
            <w:tcMar>
              <w:top w:w="45" w:type="dxa"/>
              <w:left w:w="180" w:type="dxa"/>
              <w:bottom w:w="45" w:type="dxa"/>
              <w:right w:w="180" w:type="dxa"/>
            </w:tcMar>
            <w:vAlign w:val="center"/>
            <w:hideMark/>
          </w:tcPr>
          <w:p w:rsidR="00886888" w:rsidRPr="00886888" w:rsidRDefault="00886888" w:rsidP="00886888">
            <w:pPr>
              <w:rPr>
                <w:b/>
                <w:bCs/>
              </w:rPr>
            </w:pPr>
            <w:r w:rsidRPr="00886888">
              <w:rPr>
                <w:b/>
                <w:bCs/>
              </w:rPr>
              <w:t>Approaches Expectations</w:t>
            </w:r>
          </w:p>
        </w:tc>
        <w:tc>
          <w:tcPr>
            <w:tcW w:w="1000" w:type="pct"/>
            <w:tcBorders>
              <w:left w:val="single" w:sz="6" w:space="0" w:color="CCCCCC"/>
            </w:tcBorders>
            <w:tcMar>
              <w:top w:w="45" w:type="dxa"/>
              <w:left w:w="180" w:type="dxa"/>
              <w:bottom w:w="45" w:type="dxa"/>
              <w:right w:w="180" w:type="dxa"/>
            </w:tcMar>
            <w:vAlign w:val="center"/>
            <w:hideMark/>
          </w:tcPr>
          <w:p w:rsidR="00886888" w:rsidRPr="00886888" w:rsidRDefault="00886888" w:rsidP="00886888">
            <w:pPr>
              <w:rPr>
                <w:b/>
                <w:bCs/>
              </w:rPr>
            </w:pPr>
            <w:r w:rsidRPr="00886888">
              <w:rPr>
                <w:b/>
                <w:bCs/>
              </w:rPr>
              <w:t>Below Expectations</w:t>
            </w:r>
          </w:p>
        </w:tc>
        <w:tc>
          <w:tcPr>
            <w:tcW w:w="1000" w:type="pct"/>
            <w:tcBorders>
              <w:left w:val="single" w:sz="6" w:space="0" w:color="CCCCCC"/>
            </w:tcBorders>
            <w:tcMar>
              <w:top w:w="45" w:type="dxa"/>
              <w:left w:w="180" w:type="dxa"/>
              <w:bottom w:w="45" w:type="dxa"/>
              <w:right w:w="180" w:type="dxa"/>
            </w:tcMar>
            <w:vAlign w:val="center"/>
            <w:hideMark/>
          </w:tcPr>
          <w:p w:rsidR="00886888" w:rsidRPr="00886888" w:rsidRDefault="00886888" w:rsidP="00886888">
            <w:pPr>
              <w:rPr>
                <w:b/>
                <w:bCs/>
              </w:rPr>
            </w:pPr>
            <w:r w:rsidRPr="00886888">
              <w:rPr>
                <w:b/>
                <w:bCs/>
              </w:rPr>
              <w:t>Does Not Meet Expectations</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Introduction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Range:4.3 (4.3%) - 5 (5%)</w:t>
            </w:r>
          </w:p>
          <w:p w:rsidR="00886888" w:rsidRPr="00886888" w:rsidRDefault="00886888" w:rsidP="00886888">
            <w:r w:rsidRPr="00886888">
              <w:t>Introduction summarizes the case comprehensively and prepares the reader for the remainder of the paper.</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Range:3.65 (3.65%) - 4.25 (4.25%)</w:t>
            </w:r>
          </w:p>
          <w:p w:rsidR="00886888" w:rsidRPr="00886888" w:rsidRDefault="00886888" w:rsidP="00886888">
            <w:r w:rsidRPr="00886888">
              <w:t>Introduction summarizes the case and somewhat prepares the reader for the remainder of the paper.</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Range:3 (3%) - 3.6 (3.6%)</w:t>
            </w:r>
          </w:p>
          <w:p w:rsidR="00886888" w:rsidRPr="00886888" w:rsidRDefault="00886888" w:rsidP="00886888">
            <w:r w:rsidRPr="00886888">
              <w:t>Introduction lacks detail to prepare the reader for the case.</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- 2.95 (2.95%)</w:t>
            </w:r>
          </w:p>
          <w:p w:rsidR="00886888" w:rsidRPr="00886888" w:rsidRDefault="00886888" w:rsidP="00886888">
            <w:r w:rsidRPr="00886888">
              <w:t>Introduction is not present or is grossly erroneous.</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 xml:space="preserve">Heart failure and </w:t>
            </w:r>
            <w:proofErr w:type="spellStart"/>
            <w:r w:rsidRPr="00886888">
              <w:rPr>
                <w:b/>
                <w:bCs/>
              </w:rPr>
              <w:t>pathogenisis</w:t>
            </w:r>
            <w:proofErr w:type="spellEnd"/>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Range:11.18 (11.18%) - 13 (13%)</w:t>
            </w:r>
          </w:p>
          <w:p w:rsidR="00886888" w:rsidRPr="00886888" w:rsidRDefault="00886888" w:rsidP="00886888">
            <w:r w:rsidRPr="00886888">
              <w:t>Identifies and thoroughly explains type of heart failure and the pathogenesis. Information is scientifically sound, thorough, supported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Range:9.49 (9.49%) - 11.05 (11.05%)</w:t>
            </w:r>
          </w:p>
          <w:p w:rsidR="00886888" w:rsidRPr="00886888" w:rsidRDefault="00886888" w:rsidP="00886888">
            <w:r w:rsidRPr="00886888">
              <w:t>Mostly Identifies and thoroughly explains type of heart failure and the pathogenesis. Information is scientifically sound, thorough, necessary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Range:7.8 (7.8%) - 9.36 (9.36%)</w:t>
            </w:r>
          </w:p>
          <w:p w:rsidR="00886888" w:rsidRPr="00886888" w:rsidRDefault="00886888" w:rsidP="00886888">
            <w:r w:rsidRPr="00886888">
              <w:t>Provides insufficient explanations Information is not entirely scientifically sound, necessary or supported with evidence and a sound rationale.</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- 7.67 (7.67%)</w:t>
            </w:r>
          </w:p>
          <w:p w:rsidR="00886888" w:rsidRPr="00886888" w:rsidRDefault="00886888" w:rsidP="00886888">
            <w:r w:rsidRPr="00886888">
              <w:t>Does not or incorrect answers with insufficient explanations. Information is not scientifically sound, necessary or sufficient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Bronchitis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Range:11.18 (11.18%) - 13 (13%)</w:t>
            </w:r>
          </w:p>
          <w:p w:rsidR="00886888" w:rsidRPr="00886888" w:rsidRDefault="00886888" w:rsidP="00886888">
            <w:r w:rsidRPr="00886888">
              <w:t>Provides clinical findings, treatment, and recommendations of chronic bronchitis. Information is scientifically sound, thorough, supported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Range:9.49 (9.49%) - 11.05 (11.05%)</w:t>
            </w:r>
          </w:p>
          <w:p w:rsidR="00886888" w:rsidRPr="00886888" w:rsidRDefault="00886888" w:rsidP="00886888">
            <w:r w:rsidRPr="00886888">
              <w:t>Provides most clinical findings, treatment, and recommendations of chronic bronchitis but may be limited. Information is mostly scientifically sound, thorough, necessary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Range:7.8 (7.8%) - 9.36 (9.36%)</w:t>
            </w:r>
          </w:p>
          <w:p w:rsidR="00886888" w:rsidRPr="00886888" w:rsidRDefault="00886888" w:rsidP="00886888">
            <w:r w:rsidRPr="00886888">
              <w:t>Provides insufficient explanations of rationale. Information is not entirely scientifically sound, necessary and sufficient. Does not address the context sufficiently or with sound rationale.</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- 7.67 (7.67%)</w:t>
            </w:r>
          </w:p>
          <w:p w:rsidR="00886888" w:rsidRPr="00886888" w:rsidRDefault="00886888" w:rsidP="00886888">
            <w:r w:rsidRPr="00886888">
              <w:t>Does not or incorrect answers with insufficient explanations. Information is not scientifically sound, necessary or sufficient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lastRenderedPageBreak/>
              <w:t>Hypertension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Range:11.18 (11.18%) - 13 (13%)</w:t>
            </w:r>
          </w:p>
          <w:p w:rsidR="00886888" w:rsidRPr="00886888" w:rsidRDefault="00886888" w:rsidP="00886888">
            <w:r w:rsidRPr="00886888">
              <w:t>Provides thorough and detailed explanations for stages of hypertension, current medications and the impact of the disease in the U.S. population. Information is scientifically sound, supported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Range:9.49 (9.49%) - 11.05 (11.05%)</w:t>
            </w:r>
          </w:p>
          <w:p w:rsidR="00886888" w:rsidRPr="00886888" w:rsidRDefault="00886888" w:rsidP="00886888">
            <w:r w:rsidRPr="00886888">
              <w:t>Provides mostly sufficient explanations for stage of hypertension, current medications and the impact of the disease in the U.S. population. Information is mostly scientifically sound, support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Range:7.8 (7.8%) - 9.36 (9.36%)</w:t>
            </w:r>
          </w:p>
          <w:p w:rsidR="00886888" w:rsidRPr="00886888" w:rsidRDefault="00886888" w:rsidP="00886888">
            <w:r w:rsidRPr="00886888">
              <w:t>Provides insufficient explanations. Information is not entirely scientifically sound, necessary and sufficient. Does not address the context sufficiently or with sound rationale.</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- 7.67 (7.67%)</w:t>
            </w:r>
          </w:p>
          <w:p w:rsidR="00886888" w:rsidRPr="00886888" w:rsidRDefault="00886888" w:rsidP="00886888">
            <w:r w:rsidRPr="00886888">
              <w:t>Does not answer or incorrectly explains content. Information is not scientifically sound, necessary or sufficient.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Lipid Panel</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Range:11.18 (11.18%) - 13 (13%)</w:t>
            </w:r>
          </w:p>
          <w:p w:rsidR="00886888" w:rsidRPr="00886888" w:rsidRDefault="00886888" w:rsidP="00886888">
            <w:r w:rsidRPr="00886888">
              <w:t>Thoroughly details other conditions from the lipid panel with expert rationale and supported reasoning. Correlates lipid panel to hypertension and Type II diabetes mellitus. Correctly suggests other medication that should be given. Rationale is thorough, supported and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Range:9.49 (9.49%) - 11.05 (11.05%)</w:t>
            </w:r>
          </w:p>
          <w:p w:rsidR="00886888" w:rsidRPr="00886888" w:rsidRDefault="00886888" w:rsidP="00886888">
            <w:r w:rsidRPr="00886888">
              <w:t>Provides some details regarding other conditions from the lipid panel with rationale and reasoning, although may be limited in certain areas. Mostly correlates lipid panel to hypertension and Type II diabetes mellitus. Suggests other medication that should be given but may be erroneous in some areas. Rationale is supported and mostly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Range:7.8 (7.8%) - 9.36 (9.36%)</w:t>
            </w:r>
          </w:p>
          <w:p w:rsidR="00886888" w:rsidRPr="00886888" w:rsidRDefault="00886888" w:rsidP="00886888">
            <w:r w:rsidRPr="00886888">
              <w:t>Provides insufficient explanations of lipid panel rationale and correlation to disease and medication. Information is not entirely scientifically sound, necessary or sufficient.</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- 7.67 (7.67%)</w:t>
            </w:r>
          </w:p>
          <w:p w:rsidR="00886888" w:rsidRPr="00886888" w:rsidRDefault="00886888" w:rsidP="00886888">
            <w:r w:rsidRPr="00886888">
              <w:t>Does not or incorrect answers with insufficient explanations. Information is not scientifically sound, necessary or sufficient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Lab Values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Range:11.18 (11.18%) - 13 (13%)</w:t>
            </w:r>
          </w:p>
          <w:p w:rsidR="00886888" w:rsidRPr="00886888" w:rsidRDefault="00886888" w:rsidP="00886888">
            <w:r w:rsidRPr="00886888">
              <w:t xml:space="preserve">Provides thorough and </w:t>
            </w:r>
            <w:r w:rsidRPr="00886888">
              <w:lastRenderedPageBreak/>
              <w:t>insightful explanations for lab values, specifically HbA1c, along with the rationale in relation to normal/abnormal body function. Information is scientifically sound, supported and sufficient in detail.</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lastRenderedPageBreak/>
              <w:t>Points Range:9.49 (9.49%) - 11.05 (11.05%)</w:t>
            </w:r>
          </w:p>
          <w:p w:rsidR="00886888" w:rsidRPr="00886888" w:rsidRDefault="00886888" w:rsidP="00886888">
            <w:r w:rsidRPr="00886888">
              <w:t xml:space="preserve">Provides mostly thorough </w:t>
            </w:r>
            <w:r w:rsidRPr="00886888">
              <w:lastRenderedPageBreak/>
              <w:t>explanations for lab values, specifically HbA1c, along with the rationale in relation to normal/abnormal body function. Information is mostly scientifically sound, supported but may lack detail in some areas.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lastRenderedPageBreak/>
              <w:t>Points Range:7.8 (7.8%) - 9.36 (9.36%)</w:t>
            </w:r>
          </w:p>
          <w:p w:rsidR="00886888" w:rsidRPr="00886888" w:rsidRDefault="00886888" w:rsidP="00886888">
            <w:r w:rsidRPr="00886888">
              <w:t xml:space="preserve">Provides insufficient explanations for lab </w:t>
            </w:r>
            <w:r w:rsidRPr="00886888">
              <w:lastRenderedPageBreak/>
              <w:t>values/HbA1c and insufficient rationale in relation to normal/abnormal body function. Does not address the context sufficiently or with sound rationale.</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lastRenderedPageBreak/>
              <w:t>Points Range:0 (0%) - 7.67 (7.67%)</w:t>
            </w:r>
          </w:p>
          <w:p w:rsidR="00886888" w:rsidRPr="00886888" w:rsidRDefault="00886888" w:rsidP="00886888">
            <w:r w:rsidRPr="00886888">
              <w:t xml:space="preserve">Does not or incorrectly answers with insufficient </w:t>
            </w:r>
            <w:r w:rsidRPr="00886888">
              <w:lastRenderedPageBreak/>
              <w:t>explanations. Information is not scientifically sound, necessary or sufficient.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lastRenderedPageBreak/>
              <w:t>Overall Clinical findings and case analysis/Summary</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Range:10.32 (10.32%) - 12 (12%)</w:t>
            </w:r>
          </w:p>
          <w:p w:rsidR="00886888" w:rsidRPr="00886888" w:rsidRDefault="00886888" w:rsidP="00886888">
            <w:r w:rsidRPr="00886888">
              <w:t>Provides an overall thorough case analysis with clinical findings on case. Clinical findings are supported with evidence, compared and rationalized thoroughly. The type of heart failure is explained and supported.</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Range:8.76 (8.76%) - 10.2 (10.2%)</w:t>
            </w:r>
          </w:p>
          <w:p w:rsidR="00886888" w:rsidRPr="00886888" w:rsidRDefault="00886888" w:rsidP="00886888">
            <w:r w:rsidRPr="00886888">
              <w:t>Provides an overall case analysis with clinical findings on case. Clinical findings are mostly supported with evidence, compared and rationalized with some evidence of critical thinking. The type of heart failure is explained and supported.</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Range:7.2 (7.2%) - 8.64 (8.64%)</w:t>
            </w:r>
          </w:p>
          <w:p w:rsidR="00886888" w:rsidRPr="00886888" w:rsidRDefault="00886888" w:rsidP="00886888">
            <w:r w:rsidRPr="00886888">
              <w:t>Provides a limited overall case analysis with limited clinical findings on case, there is little to no support of clinical findings with evidence. The type of heart failure is not explained and/or not supported.</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- 7.08 (7.08%)</w:t>
            </w:r>
          </w:p>
          <w:p w:rsidR="00886888" w:rsidRPr="00886888" w:rsidRDefault="00886888" w:rsidP="00886888">
            <w:r w:rsidRPr="00886888">
              <w:t>Does not or incorrectly analyzes case with insufficient explanations and analysis. Information is not scientifically sound, necessary or sufficient or no analysis is present.</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t>Mechanics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Range:6.88 (6.88%) - 8 (8%)</w:t>
            </w:r>
          </w:p>
          <w:p w:rsidR="00886888" w:rsidRPr="00886888" w:rsidRDefault="00886888" w:rsidP="00886888">
            <w:r w:rsidRPr="00886888">
              <w:t xml:space="preserve">Answers are well written throughout. Information is well organized and clearly </w:t>
            </w:r>
            <w:proofErr w:type="spellStart"/>
            <w:r w:rsidRPr="00886888">
              <w:t>communicated.The</w:t>
            </w:r>
            <w:proofErr w:type="spellEnd"/>
            <w:r w:rsidRPr="00886888">
              <w:t xml:space="preserve"> writing is free of spelling and grammatical errors.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Range:5.84 (5.84%) - 6.8 (6.8%)</w:t>
            </w:r>
          </w:p>
          <w:p w:rsidR="00886888" w:rsidRPr="00886888" w:rsidRDefault="00886888" w:rsidP="00886888">
            <w:r w:rsidRPr="00886888">
              <w:t>Answers are well written throughout and the information is reasonably organized and communicated. It is mostly free of spelling and grammatical errors.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Range:4.8 (4.8%) - 5.76 (5.76%)</w:t>
            </w:r>
          </w:p>
          <w:p w:rsidR="00886888" w:rsidRPr="00886888" w:rsidRDefault="00886888" w:rsidP="00886888">
            <w:r w:rsidRPr="00886888">
              <w:t>Answers are somewhat organized and lacks some clarity. Contains some spelling and grammatical errors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- 4.72 (4.72%)</w:t>
            </w:r>
          </w:p>
          <w:p w:rsidR="00886888" w:rsidRPr="00886888" w:rsidRDefault="00886888" w:rsidP="00886888">
            <w:r w:rsidRPr="00886888">
              <w:t>Answers are not well written and the information is poorly organized and lacks clarity. It contains many spelling and grammatical errors</w:t>
            </w:r>
          </w:p>
        </w:tc>
      </w:tr>
      <w:tr w:rsidR="00886888" w:rsidRPr="00886888" w:rsidTr="00886888">
        <w:trPr>
          <w:tblCellSpacing w:w="15" w:type="dxa"/>
        </w:trPr>
        <w:tc>
          <w:tcPr>
            <w:tcW w:w="0" w:type="auto"/>
            <w:tcBorders>
              <w:top w:val="single" w:sz="6" w:space="0" w:color="CCCCCC"/>
            </w:tcBorders>
            <w:tcMar>
              <w:top w:w="135" w:type="dxa"/>
              <w:left w:w="180" w:type="dxa"/>
              <w:bottom w:w="135" w:type="dxa"/>
              <w:right w:w="180" w:type="dxa"/>
            </w:tcMar>
            <w:hideMark/>
          </w:tcPr>
          <w:p w:rsidR="00886888" w:rsidRPr="00886888" w:rsidRDefault="00886888" w:rsidP="00886888">
            <w:pPr>
              <w:rPr>
                <w:b/>
                <w:bCs/>
              </w:rPr>
            </w:pPr>
            <w:r w:rsidRPr="00886888">
              <w:rPr>
                <w:b/>
                <w:bCs/>
              </w:rPr>
              <w:lastRenderedPageBreak/>
              <w:t>APA format and References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86888" w:rsidRPr="00886888" w:rsidRDefault="00886888" w:rsidP="00886888">
            <w:r w:rsidRPr="00886888">
              <w:t>Points Range:8.6 (8.6%) - 10 (10%)</w:t>
            </w:r>
          </w:p>
          <w:p w:rsidR="00886888" w:rsidRPr="00886888" w:rsidRDefault="00886888" w:rsidP="00886888">
            <w:r w:rsidRPr="00886888">
              <w:t>Meets all the requirements related to length. There is a minimum of 3 scholarly resources with at least 1 non-internet source. All references are correctly cited in APA format. The student shows a solid grasp of APA formatting, paraphrasing and citations.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Range:7.3 (7.3%) - 8.5 (8.5%)</w:t>
            </w:r>
          </w:p>
          <w:p w:rsidR="00886888" w:rsidRPr="00886888" w:rsidRDefault="00886888" w:rsidP="00886888">
            <w:r w:rsidRPr="00886888">
              <w:t>Meets most of the requirements related to length. There is a minimum of 3 resources with at least 1 non-internet source; the references may be questionable or not scholarly in nature. Most references are correctly cited in APA format. The student shows a good grasp of APA formatting, paraphrasing and citations but needs refinement in some areas.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Range:6 (6%) - 7.2 (7.2%)</w:t>
            </w:r>
          </w:p>
          <w:p w:rsidR="00886888" w:rsidRPr="00886888" w:rsidRDefault="00886888" w:rsidP="00886888">
            <w:r w:rsidRPr="00886888">
              <w:t>Meets some of the requirements related to length but is lacking enough to impede the meaning of the paper. The references do not meet required count and/or may be questionable or not scholarly in nature. References are not correctly cited in APA format. The student does not show a good grasp of APA formatting, paraphrasing and citations.</w:t>
            </w:r>
          </w:p>
        </w:tc>
        <w:tc>
          <w:tcPr>
            <w:tcW w:w="0" w:type="auto"/>
            <w:tcBorders>
              <w:top w:val="single" w:sz="6" w:space="0" w:color="CCCCCC"/>
              <w:left w:val="single" w:sz="6" w:space="0" w:color="CCCCCC"/>
              <w:bottom w:val="single" w:sz="6" w:space="0" w:color="CCCCCC"/>
              <w:right w:val="single" w:sz="6" w:space="0" w:color="CCCCCC"/>
            </w:tcBorders>
            <w:tcMar>
              <w:top w:w="135" w:type="dxa"/>
              <w:left w:w="180" w:type="dxa"/>
              <w:bottom w:w="135" w:type="dxa"/>
              <w:right w:w="180" w:type="dxa"/>
            </w:tcMar>
            <w:hideMark/>
          </w:tcPr>
          <w:p w:rsidR="00886888" w:rsidRPr="00886888" w:rsidRDefault="00886888" w:rsidP="00886888">
            <w:r w:rsidRPr="00886888">
              <w:t>Points Range:0 (0%) - 5.9 (5.9%)</w:t>
            </w:r>
          </w:p>
          <w:p w:rsidR="00886888" w:rsidRPr="00886888" w:rsidRDefault="00886888" w:rsidP="00886888">
            <w:r w:rsidRPr="00886888">
              <w:t>Does not follow format, length and layout requirements. References are not present or do not support scholarly intention. A lack of effort it apparent. There are extensive errors in formatting.</w:t>
            </w:r>
          </w:p>
        </w:tc>
      </w:tr>
    </w:tbl>
    <w:p w:rsidR="00886888" w:rsidRPr="00886888" w:rsidRDefault="00886888" w:rsidP="00886888">
      <w:proofErr w:type="spellStart"/>
      <w:r w:rsidRPr="00886888">
        <w:t>Name</w:t>
      </w:r>
      <w:proofErr w:type="gramStart"/>
      <w:r w:rsidRPr="00886888">
        <w:t>:</w:t>
      </w:r>
      <w:r w:rsidRPr="00886888">
        <w:rPr>
          <w:b/>
          <w:bCs/>
        </w:rPr>
        <w:t>PATH</w:t>
      </w:r>
      <w:proofErr w:type="spellEnd"/>
      <w:proofErr w:type="gramEnd"/>
      <w:r w:rsidRPr="00886888">
        <w:rPr>
          <w:b/>
          <w:bCs/>
        </w:rPr>
        <w:t xml:space="preserve"> 370 Signature Assignment Rubric NEW</w:t>
      </w:r>
    </w:p>
    <w:p w:rsidR="001D2E36" w:rsidRDefault="00D62C2D"/>
    <w:sectPr w:rsidR="001D2E36" w:rsidSect="00920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F4361"/>
    <w:multiLevelType w:val="multilevel"/>
    <w:tmpl w:val="3B82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888"/>
    <w:rsid w:val="007C78DF"/>
    <w:rsid w:val="00886888"/>
    <w:rsid w:val="0092026C"/>
    <w:rsid w:val="009936BD"/>
    <w:rsid w:val="00D62C2D"/>
    <w:rsid w:val="00F0170A"/>
    <w:rsid w:val="00F06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888"/>
    <w:rPr>
      <w:color w:val="0563C1" w:themeColor="hyperlink"/>
      <w:u w:val="single"/>
    </w:rPr>
  </w:style>
  <w:style w:type="character" w:customStyle="1" w:styleId="UnresolvedMention">
    <w:name w:val="Unresolved Mention"/>
    <w:basedOn w:val="DefaultParagraphFont"/>
    <w:uiPriority w:val="99"/>
    <w:semiHidden/>
    <w:unhideWhenUsed/>
    <w:rsid w:val="00886888"/>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250580768">
      <w:bodyDiv w:val="1"/>
      <w:marLeft w:val="0"/>
      <w:marRight w:val="0"/>
      <w:marTop w:val="0"/>
      <w:marBottom w:val="0"/>
      <w:divBdr>
        <w:top w:val="none" w:sz="0" w:space="0" w:color="auto"/>
        <w:left w:val="none" w:sz="0" w:space="0" w:color="auto"/>
        <w:bottom w:val="none" w:sz="0" w:space="0" w:color="auto"/>
        <w:right w:val="none" w:sz="0" w:space="0" w:color="auto"/>
      </w:divBdr>
      <w:divsChild>
        <w:div w:id="902376647">
          <w:marLeft w:val="0"/>
          <w:marRight w:val="0"/>
          <w:marTop w:val="0"/>
          <w:marBottom w:val="150"/>
          <w:divBdr>
            <w:top w:val="none" w:sz="0" w:space="0" w:color="auto"/>
            <w:left w:val="none" w:sz="0" w:space="0" w:color="auto"/>
            <w:bottom w:val="none" w:sz="0" w:space="0" w:color="auto"/>
            <w:right w:val="none" w:sz="0" w:space="0" w:color="auto"/>
          </w:divBdr>
          <w:divsChild>
            <w:div w:id="339432609">
              <w:marLeft w:val="0"/>
              <w:marRight w:val="0"/>
              <w:marTop w:val="0"/>
              <w:marBottom w:val="0"/>
              <w:divBdr>
                <w:top w:val="single" w:sz="6" w:space="0" w:color="DDDDDD"/>
                <w:left w:val="single" w:sz="6" w:space="0" w:color="DDDDDD"/>
                <w:bottom w:val="single" w:sz="6" w:space="0" w:color="DDDDDD"/>
                <w:right w:val="single" w:sz="6" w:space="0" w:color="DDDDDD"/>
              </w:divBdr>
              <w:divsChild>
                <w:div w:id="1331833846">
                  <w:marLeft w:val="0"/>
                  <w:marRight w:val="0"/>
                  <w:marTop w:val="0"/>
                  <w:marBottom w:val="0"/>
                  <w:divBdr>
                    <w:top w:val="none" w:sz="0" w:space="0" w:color="auto"/>
                    <w:left w:val="none" w:sz="0" w:space="0" w:color="auto"/>
                    <w:bottom w:val="none" w:sz="0" w:space="0" w:color="auto"/>
                    <w:right w:val="none" w:sz="0" w:space="0" w:color="auto"/>
                  </w:divBdr>
                  <w:divsChild>
                    <w:div w:id="1110781834">
                      <w:marLeft w:val="0"/>
                      <w:marRight w:val="0"/>
                      <w:marTop w:val="0"/>
                      <w:marBottom w:val="0"/>
                      <w:divBdr>
                        <w:top w:val="none" w:sz="0" w:space="0" w:color="auto"/>
                        <w:left w:val="none" w:sz="0" w:space="0" w:color="auto"/>
                        <w:bottom w:val="none" w:sz="0" w:space="0" w:color="auto"/>
                        <w:right w:val="none" w:sz="0" w:space="0" w:color="auto"/>
                      </w:divBdr>
                    </w:div>
                  </w:divsChild>
                </w:div>
                <w:div w:id="2132357920">
                  <w:marLeft w:val="0"/>
                  <w:marRight w:val="0"/>
                  <w:marTop w:val="0"/>
                  <w:marBottom w:val="0"/>
                  <w:divBdr>
                    <w:top w:val="none" w:sz="0" w:space="0" w:color="auto"/>
                    <w:left w:val="none" w:sz="0" w:space="0" w:color="auto"/>
                    <w:bottom w:val="none" w:sz="0" w:space="0" w:color="auto"/>
                    <w:right w:val="none" w:sz="0" w:space="0" w:color="auto"/>
                  </w:divBdr>
                </w:div>
                <w:div w:id="1298219071">
                  <w:marLeft w:val="0"/>
                  <w:marRight w:val="0"/>
                  <w:marTop w:val="0"/>
                  <w:marBottom w:val="0"/>
                  <w:divBdr>
                    <w:top w:val="none" w:sz="0" w:space="0" w:color="auto"/>
                    <w:left w:val="none" w:sz="0" w:space="0" w:color="auto"/>
                    <w:bottom w:val="none" w:sz="0" w:space="0" w:color="auto"/>
                    <w:right w:val="none" w:sz="0" w:space="0" w:color="auto"/>
                  </w:divBdr>
                  <w:divsChild>
                    <w:div w:id="1666592433">
                      <w:marLeft w:val="0"/>
                      <w:marRight w:val="0"/>
                      <w:marTop w:val="0"/>
                      <w:marBottom w:val="0"/>
                      <w:divBdr>
                        <w:top w:val="none" w:sz="0" w:space="0" w:color="auto"/>
                        <w:left w:val="none" w:sz="0" w:space="0" w:color="auto"/>
                        <w:bottom w:val="none" w:sz="0" w:space="0" w:color="auto"/>
                        <w:right w:val="none" w:sz="0" w:space="0" w:color="auto"/>
                      </w:divBdr>
                    </w:div>
                  </w:divsChild>
                </w:div>
                <w:div w:id="1438796911">
                  <w:marLeft w:val="0"/>
                  <w:marRight w:val="0"/>
                  <w:marTop w:val="0"/>
                  <w:marBottom w:val="0"/>
                  <w:divBdr>
                    <w:top w:val="none" w:sz="0" w:space="0" w:color="auto"/>
                    <w:left w:val="none" w:sz="0" w:space="0" w:color="auto"/>
                    <w:bottom w:val="none" w:sz="0" w:space="0" w:color="auto"/>
                    <w:right w:val="none" w:sz="0" w:space="0" w:color="auto"/>
                  </w:divBdr>
                </w:div>
                <w:div w:id="777217221">
                  <w:marLeft w:val="0"/>
                  <w:marRight w:val="0"/>
                  <w:marTop w:val="0"/>
                  <w:marBottom w:val="0"/>
                  <w:divBdr>
                    <w:top w:val="none" w:sz="0" w:space="0" w:color="auto"/>
                    <w:left w:val="none" w:sz="0" w:space="0" w:color="auto"/>
                    <w:bottom w:val="none" w:sz="0" w:space="0" w:color="auto"/>
                    <w:right w:val="none" w:sz="0" w:space="0" w:color="auto"/>
                  </w:divBdr>
                  <w:divsChild>
                    <w:div w:id="1612317067">
                      <w:marLeft w:val="0"/>
                      <w:marRight w:val="0"/>
                      <w:marTop w:val="0"/>
                      <w:marBottom w:val="0"/>
                      <w:divBdr>
                        <w:top w:val="none" w:sz="0" w:space="0" w:color="auto"/>
                        <w:left w:val="none" w:sz="0" w:space="0" w:color="auto"/>
                        <w:bottom w:val="none" w:sz="0" w:space="0" w:color="auto"/>
                        <w:right w:val="none" w:sz="0" w:space="0" w:color="auto"/>
                      </w:divBdr>
                    </w:div>
                  </w:divsChild>
                </w:div>
                <w:div w:id="1981223651">
                  <w:marLeft w:val="0"/>
                  <w:marRight w:val="0"/>
                  <w:marTop w:val="0"/>
                  <w:marBottom w:val="0"/>
                  <w:divBdr>
                    <w:top w:val="none" w:sz="0" w:space="0" w:color="auto"/>
                    <w:left w:val="none" w:sz="0" w:space="0" w:color="auto"/>
                    <w:bottom w:val="none" w:sz="0" w:space="0" w:color="auto"/>
                    <w:right w:val="none" w:sz="0" w:space="0" w:color="auto"/>
                  </w:divBdr>
                </w:div>
                <w:div w:id="858852235">
                  <w:marLeft w:val="0"/>
                  <w:marRight w:val="0"/>
                  <w:marTop w:val="0"/>
                  <w:marBottom w:val="0"/>
                  <w:divBdr>
                    <w:top w:val="none" w:sz="0" w:space="0" w:color="auto"/>
                    <w:left w:val="none" w:sz="0" w:space="0" w:color="auto"/>
                    <w:bottom w:val="none" w:sz="0" w:space="0" w:color="auto"/>
                    <w:right w:val="none" w:sz="0" w:space="0" w:color="auto"/>
                  </w:divBdr>
                  <w:divsChild>
                    <w:div w:id="181088724">
                      <w:marLeft w:val="0"/>
                      <w:marRight w:val="0"/>
                      <w:marTop w:val="0"/>
                      <w:marBottom w:val="0"/>
                      <w:divBdr>
                        <w:top w:val="none" w:sz="0" w:space="0" w:color="auto"/>
                        <w:left w:val="none" w:sz="0" w:space="0" w:color="auto"/>
                        <w:bottom w:val="none" w:sz="0" w:space="0" w:color="auto"/>
                        <w:right w:val="none" w:sz="0" w:space="0" w:color="auto"/>
                      </w:divBdr>
                    </w:div>
                  </w:divsChild>
                </w:div>
                <w:div w:id="1343823093">
                  <w:marLeft w:val="0"/>
                  <w:marRight w:val="0"/>
                  <w:marTop w:val="0"/>
                  <w:marBottom w:val="0"/>
                  <w:divBdr>
                    <w:top w:val="none" w:sz="0" w:space="0" w:color="auto"/>
                    <w:left w:val="none" w:sz="0" w:space="0" w:color="auto"/>
                    <w:bottom w:val="none" w:sz="0" w:space="0" w:color="auto"/>
                    <w:right w:val="none" w:sz="0" w:space="0" w:color="auto"/>
                  </w:divBdr>
                </w:div>
                <w:div w:id="340788076">
                  <w:marLeft w:val="0"/>
                  <w:marRight w:val="0"/>
                  <w:marTop w:val="0"/>
                  <w:marBottom w:val="0"/>
                  <w:divBdr>
                    <w:top w:val="none" w:sz="0" w:space="0" w:color="auto"/>
                    <w:left w:val="none" w:sz="0" w:space="0" w:color="auto"/>
                    <w:bottom w:val="none" w:sz="0" w:space="0" w:color="auto"/>
                    <w:right w:val="none" w:sz="0" w:space="0" w:color="auto"/>
                  </w:divBdr>
                  <w:divsChild>
                    <w:div w:id="2088846368">
                      <w:marLeft w:val="0"/>
                      <w:marRight w:val="0"/>
                      <w:marTop w:val="0"/>
                      <w:marBottom w:val="0"/>
                      <w:divBdr>
                        <w:top w:val="none" w:sz="0" w:space="0" w:color="auto"/>
                        <w:left w:val="none" w:sz="0" w:space="0" w:color="auto"/>
                        <w:bottom w:val="none" w:sz="0" w:space="0" w:color="auto"/>
                        <w:right w:val="none" w:sz="0" w:space="0" w:color="auto"/>
                      </w:divBdr>
                    </w:div>
                  </w:divsChild>
                </w:div>
                <w:div w:id="1304390179">
                  <w:marLeft w:val="0"/>
                  <w:marRight w:val="0"/>
                  <w:marTop w:val="0"/>
                  <w:marBottom w:val="0"/>
                  <w:divBdr>
                    <w:top w:val="none" w:sz="0" w:space="0" w:color="auto"/>
                    <w:left w:val="none" w:sz="0" w:space="0" w:color="auto"/>
                    <w:bottom w:val="none" w:sz="0" w:space="0" w:color="auto"/>
                    <w:right w:val="none" w:sz="0" w:space="0" w:color="auto"/>
                  </w:divBdr>
                </w:div>
                <w:div w:id="1592857616">
                  <w:marLeft w:val="0"/>
                  <w:marRight w:val="0"/>
                  <w:marTop w:val="0"/>
                  <w:marBottom w:val="0"/>
                  <w:divBdr>
                    <w:top w:val="none" w:sz="0" w:space="0" w:color="auto"/>
                    <w:left w:val="none" w:sz="0" w:space="0" w:color="auto"/>
                    <w:bottom w:val="none" w:sz="0" w:space="0" w:color="auto"/>
                    <w:right w:val="none" w:sz="0" w:space="0" w:color="auto"/>
                  </w:divBdr>
                  <w:divsChild>
                    <w:div w:id="1752194510">
                      <w:marLeft w:val="0"/>
                      <w:marRight w:val="0"/>
                      <w:marTop w:val="0"/>
                      <w:marBottom w:val="0"/>
                      <w:divBdr>
                        <w:top w:val="none" w:sz="0" w:space="0" w:color="auto"/>
                        <w:left w:val="none" w:sz="0" w:space="0" w:color="auto"/>
                        <w:bottom w:val="none" w:sz="0" w:space="0" w:color="auto"/>
                        <w:right w:val="none" w:sz="0" w:space="0" w:color="auto"/>
                      </w:divBdr>
                    </w:div>
                  </w:divsChild>
                </w:div>
                <w:div w:id="742989676">
                  <w:marLeft w:val="0"/>
                  <w:marRight w:val="0"/>
                  <w:marTop w:val="0"/>
                  <w:marBottom w:val="0"/>
                  <w:divBdr>
                    <w:top w:val="none" w:sz="0" w:space="0" w:color="auto"/>
                    <w:left w:val="none" w:sz="0" w:space="0" w:color="auto"/>
                    <w:bottom w:val="none" w:sz="0" w:space="0" w:color="auto"/>
                    <w:right w:val="none" w:sz="0" w:space="0" w:color="auto"/>
                  </w:divBdr>
                </w:div>
                <w:div w:id="1854494661">
                  <w:marLeft w:val="0"/>
                  <w:marRight w:val="0"/>
                  <w:marTop w:val="0"/>
                  <w:marBottom w:val="0"/>
                  <w:divBdr>
                    <w:top w:val="none" w:sz="0" w:space="0" w:color="auto"/>
                    <w:left w:val="none" w:sz="0" w:space="0" w:color="auto"/>
                    <w:bottom w:val="none" w:sz="0" w:space="0" w:color="auto"/>
                    <w:right w:val="none" w:sz="0" w:space="0" w:color="auto"/>
                  </w:divBdr>
                  <w:divsChild>
                    <w:div w:id="2050060726">
                      <w:marLeft w:val="0"/>
                      <w:marRight w:val="0"/>
                      <w:marTop w:val="0"/>
                      <w:marBottom w:val="0"/>
                      <w:divBdr>
                        <w:top w:val="none" w:sz="0" w:space="0" w:color="auto"/>
                        <w:left w:val="none" w:sz="0" w:space="0" w:color="auto"/>
                        <w:bottom w:val="none" w:sz="0" w:space="0" w:color="auto"/>
                        <w:right w:val="none" w:sz="0" w:space="0" w:color="auto"/>
                      </w:divBdr>
                    </w:div>
                  </w:divsChild>
                </w:div>
                <w:div w:id="1024287302">
                  <w:marLeft w:val="0"/>
                  <w:marRight w:val="0"/>
                  <w:marTop w:val="0"/>
                  <w:marBottom w:val="0"/>
                  <w:divBdr>
                    <w:top w:val="none" w:sz="0" w:space="0" w:color="auto"/>
                    <w:left w:val="none" w:sz="0" w:space="0" w:color="auto"/>
                    <w:bottom w:val="none" w:sz="0" w:space="0" w:color="auto"/>
                    <w:right w:val="none" w:sz="0" w:space="0" w:color="auto"/>
                  </w:divBdr>
                </w:div>
                <w:div w:id="314648201">
                  <w:marLeft w:val="0"/>
                  <w:marRight w:val="0"/>
                  <w:marTop w:val="0"/>
                  <w:marBottom w:val="0"/>
                  <w:divBdr>
                    <w:top w:val="none" w:sz="0" w:space="0" w:color="auto"/>
                    <w:left w:val="none" w:sz="0" w:space="0" w:color="auto"/>
                    <w:bottom w:val="none" w:sz="0" w:space="0" w:color="auto"/>
                    <w:right w:val="none" w:sz="0" w:space="0" w:color="auto"/>
                  </w:divBdr>
                  <w:divsChild>
                    <w:div w:id="1307316536">
                      <w:marLeft w:val="0"/>
                      <w:marRight w:val="0"/>
                      <w:marTop w:val="0"/>
                      <w:marBottom w:val="0"/>
                      <w:divBdr>
                        <w:top w:val="none" w:sz="0" w:space="0" w:color="auto"/>
                        <w:left w:val="none" w:sz="0" w:space="0" w:color="auto"/>
                        <w:bottom w:val="none" w:sz="0" w:space="0" w:color="auto"/>
                        <w:right w:val="none" w:sz="0" w:space="0" w:color="auto"/>
                      </w:divBdr>
                    </w:div>
                  </w:divsChild>
                </w:div>
                <w:div w:id="1947226574">
                  <w:marLeft w:val="0"/>
                  <w:marRight w:val="0"/>
                  <w:marTop w:val="0"/>
                  <w:marBottom w:val="0"/>
                  <w:divBdr>
                    <w:top w:val="none" w:sz="0" w:space="0" w:color="auto"/>
                    <w:left w:val="none" w:sz="0" w:space="0" w:color="auto"/>
                    <w:bottom w:val="none" w:sz="0" w:space="0" w:color="auto"/>
                    <w:right w:val="none" w:sz="0" w:space="0" w:color="auto"/>
                  </w:divBdr>
                </w:div>
                <w:div w:id="132256890">
                  <w:marLeft w:val="0"/>
                  <w:marRight w:val="0"/>
                  <w:marTop w:val="0"/>
                  <w:marBottom w:val="0"/>
                  <w:divBdr>
                    <w:top w:val="none" w:sz="0" w:space="0" w:color="auto"/>
                    <w:left w:val="none" w:sz="0" w:space="0" w:color="auto"/>
                    <w:bottom w:val="none" w:sz="0" w:space="0" w:color="auto"/>
                    <w:right w:val="none" w:sz="0" w:space="0" w:color="auto"/>
                  </w:divBdr>
                  <w:divsChild>
                    <w:div w:id="1574773172">
                      <w:marLeft w:val="0"/>
                      <w:marRight w:val="0"/>
                      <w:marTop w:val="0"/>
                      <w:marBottom w:val="0"/>
                      <w:divBdr>
                        <w:top w:val="none" w:sz="0" w:space="0" w:color="auto"/>
                        <w:left w:val="none" w:sz="0" w:space="0" w:color="auto"/>
                        <w:bottom w:val="none" w:sz="0" w:space="0" w:color="auto"/>
                        <w:right w:val="none" w:sz="0" w:space="0" w:color="auto"/>
                      </w:divBdr>
                    </w:div>
                  </w:divsChild>
                </w:div>
                <w:div w:id="428166016">
                  <w:marLeft w:val="0"/>
                  <w:marRight w:val="0"/>
                  <w:marTop w:val="0"/>
                  <w:marBottom w:val="0"/>
                  <w:divBdr>
                    <w:top w:val="none" w:sz="0" w:space="0" w:color="auto"/>
                    <w:left w:val="none" w:sz="0" w:space="0" w:color="auto"/>
                    <w:bottom w:val="none" w:sz="0" w:space="0" w:color="auto"/>
                    <w:right w:val="none" w:sz="0" w:space="0" w:color="auto"/>
                  </w:divBdr>
                </w:div>
                <w:div w:id="732116971">
                  <w:marLeft w:val="0"/>
                  <w:marRight w:val="0"/>
                  <w:marTop w:val="0"/>
                  <w:marBottom w:val="0"/>
                  <w:divBdr>
                    <w:top w:val="none" w:sz="0" w:space="0" w:color="auto"/>
                    <w:left w:val="none" w:sz="0" w:space="0" w:color="auto"/>
                    <w:bottom w:val="none" w:sz="0" w:space="0" w:color="auto"/>
                    <w:right w:val="none" w:sz="0" w:space="0" w:color="auto"/>
                  </w:divBdr>
                  <w:divsChild>
                    <w:div w:id="118837655">
                      <w:marLeft w:val="0"/>
                      <w:marRight w:val="0"/>
                      <w:marTop w:val="0"/>
                      <w:marBottom w:val="0"/>
                      <w:divBdr>
                        <w:top w:val="none" w:sz="0" w:space="0" w:color="auto"/>
                        <w:left w:val="none" w:sz="0" w:space="0" w:color="auto"/>
                        <w:bottom w:val="none" w:sz="0" w:space="0" w:color="auto"/>
                        <w:right w:val="none" w:sz="0" w:space="0" w:color="auto"/>
                      </w:divBdr>
                    </w:div>
                  </w:divsChild>
                </w:div>
                <w:div w:id="1229996967">
                  <w:marLeft w:val="0"/>
                  <w:marRight w:val="0"/>
                  <w:marTop w:val="0"/>
                  <w:marBottom w:val="0"/>
                  <w:divBdr>
                    <w:top w:val="none" w:sz="0" w:space="0" w:color="auto"/>
                    <w:left w:val="none" w:sz="0" w:space="0" w:color="auto"/>
                    <w:bottom w:val="none" w:sz="0" w:space="0" w:color="auto"/>
                    <w:right w:val="none" w:sz="0" w:space="0" w:color="auto"/>
                  </w:divBdr>
                </w:div>
                <w:div w:id="1449200900">
                  <w:marLeft w:val="0"/>
                  <w:marRight w:val="0"/>
                  <w:marTop w:val="0"/>
                  <w:marBottom w:val="0"/>
                  <w:divBdr>
                    <w:top w:val="none" w:sz="0" w:space="0" w:color="auto"/>
                    <w:left w:val="none" w:sz="0" w:space="0" w:color="auto"/>
                    <w:bottom w:val="none" w:sz="0" w:space="0" w:color="auto"/>
                    <w:right w:val="none" w:sz="0" w:space="0" w:color="auto"/>
                  </w:divBdr>
                  <w:divsChild>
                    <w:div w:id="1945528066">
                      <w:marLeft w:val="0"/>
                      <w:marRight w:val="0"/>
                      <w:marTop w:val="0"/>
                      <w:marBottom w:val="0"/>
                      <w:divBdr>
                        <w:top w:val="none" w:sz="0" w:space="0" w:color="auto"/>
                        <w:left w:val="none" w:sz="0" w:space="0" w:color="auto"/>
                        <w:bottom w:val="none" w:sz="0" w:space="0" w:color="auto"/>
                        <w:right w:val="none" w:sz="0" w:space="0" w:color="auto"/>
                      </w:divBdr>
                    </w:div>
                  </w:divsChild>
                </w:div>
                <w:div w:id="1723167555">
                  <w:marLeft w:val="0"/>
                  <w:marRight w:val="0"/>
                  <w:marTop w:val="0"/>
                  <w:marBottom w:val="0"/>
                  <w:divBdr>
                    <w:top w:val="none" w:sz="0" w:space="0" w:color="auto"/>
                    <w:left w:val="none" w:sz="0" w:space="0" w:color="auto"/>
                    <w:bottom w:val="none" w:sz="0" w:space="0" w:color="auto"/>
                    <w:right w:val="none" w:sz="0" w:space="0" w:color="auto"/>
                  </w:divBdr>
                </w:div>
                <w:div w:id="1458063053">
                  <w:marLeft w:val="0"/>
                  <w:marRight w:val="0"/>
                  <w:marTop w:val="0"/>
                  <w:marBottom w:val="0"/>
                  <w:divBdr>
                    <w:top w:val="none" w:sz="0" w:space="0" w:color="auto"/>
                    <w:left w:val="none" w:sz="0" w:space="0" w:color="auto"/>
                    <w:bottom w:val="none" w:sz="0" w:space="0" w:color="auto"/>
                    <w:right w:val="none" w:sz="0" w:space="0" w:color="auto"/>
                  </w:divBdr>
                  <w:divsChild>
                    <w:div w:id="1937205801">
                      <w:marLeft w:val="0"/>
                      <w:marRight w:val="0"/>
                      <w:marTop w:val="0"/>
                      <w:marBottom w:val="0"/>
                      <w:divBdr>
                        <w:top w:val="none" w:sz="0" w:space="0" w:color="auto"/>
                        <w:left w:val="none" w:sz="0" w:space="0" w:color="auto"/>
                        <w:bottom w:val="none" w:sz="0" w:space="0" w:color="auto"/>
                        <w:right w:val="none" w:sz="0" w:space="0" w:color="auto"/>
                      </w:divBdr>
                    </w:div>
                  </w:divsChild>
                </w:div>
                <w:div w:id="1135487653">
                  <w:marLeft w:val="0"/>
                  <w:marRight w:val="0"/>
                  <w:marTop w:val="0"/>
                  <w:marBottom w:val="0"/>
                  <w:divBdr>
                    <w:top w:val="none" w:sz="0" w:space="0" w:color="auto"/>
                    <w:left w:val="none" w:sz="0" w:space="0" w:color="auto"/>
                    <w:bottom w:val="none" w:sz="0" w:space="0" w:color="auto"/>
                    <w:right w:val="none" w:sz="0" w:space="0" w:color="auto"/>
                  </w:divBdr>
                </w:div>
                <w:div w:id="205920945">
                  <w:marLeft w:val="0"/>
                  <w:marRight w:val="0"/>
                  <w:marTop w:val="0"/>
                  <w:marBottom w:val="0"/>
                  <w:divBdr>
                    <w:top w:val="none" w:sz="0" w:space="0" w:color="auto"/>
                    <w:left w:val="none" w:sz="0" w:space="0" w:color="auto"/>
                    <w:bottom w:val="none" w:sz="0" w:space="0" w:color="auto"/>
                    <w:right w:val="none" w:sz="0" w:space="0" w:color="auto"/>
                  </w:divBdr>
                  <w:divsChild>
                    <w:div w:id="341705188">
                      <w:marLeft w:val="0"/>
                      <w:marRight w:val="0"/>
                      <w:marTop w:val="0"/>
                      <w:marBottom w:val="0"/>
                      <w:divBdr>
                        <w:top w:val="none" w:sz="0" w:space="0" w:color="auto"/>
                        <w:left w:val="none" w:sz="0" w:space="0" w:color="auto"/>
                        <w:bottom w:val="none" w:sz="0" w:space="0" w:color="auto"/>
                        <w:right w:val="none" w:sz="0" w:space="0" w:color="auto"/>
                      </w:divBdr>
                    </w:div>
                  </w:divsChild>
                </w:div>
                <w:div w:id="2136561945">
                  <w:marLeft w:val="0"/>
                  <w:marRight w:val="0"/>
                  <w:marTop w:val="0"/>
                  <w:marBottom w:val="0"/>
                  <w:divBdr>
                    <w:top w:val="none" w:sz="0" w:space="0" w:color="auto"/>
                    <w:left w:val="none" w:sz="0" w:space="0" w:color="auto"/>
                    <w:bottom w:val="none" w:sz="0" w:space="0" w:color="auto"/>
                    <w:right w:val="none" w:sz="0" w:space="0" w:color="auto"/>
                  </w:divBdr>
                </w:div>
                <w:div w:id="489174002">
                  <w:marLeft w:val="0"/>
                  <w:marRight w:val="0"/>
                  <w:marTop w:val="0"/>
                  <w:marBottom w:val="0"/>
                  <w:divBdr>
                    <w:top w:val="none" w:sz="0" w:space="0" w:color="auto"/>
                    <w:left w:val="none" w:sz="0" w:space="0" w:color="auto"/>
                    <w:bottom w:val="none" w:sz="0" w:space="0" w:color="auto"/>
                    <w:right w:val="none" w:sz="0" w:space="0" w:color="auto"/>
                  </w:divBdr>
                  <w:divsChild>
                    <w:div w:id="1182627078">
                      <w:marLeft w:val="0"/>
                      <w:marRight w:val="0"/>
                      <w:marTop w:val="0"/>
                      <w:marBottom w:val="0"/>
                      <w:divBdr>
                        <w:top w:val="none" w:sz="0" w:space="0" w:color="auto"/>
                        <w:left w:val="none" w:sz="0" w:space="0" w:color="auto"/>
                        <w:bottom w:val="none" w:sz="0" w:space="0" w:color="auto"/>
                        <w:right w:val="none" w:sz="0" w:space="0" w:color="auto"/>
                      </w:divBdr>
                    </w:div>
                  </w:divsChild>
                </w:div>
                <w:div w:id="1901283883">
                  <w:marLeft w:val="0"/>
                  <w:marRight w:val="0"/>
                  <w:marTop w:val="0"/>
                  <w:marBottom w:val="0"/>
                  <w:divBdr>
                    <w:top w:val="none" w:sz="0" w:space="0" w:color="auto"/>
                    <w:left w:val="none" w:sz="0" w:space="0" w:color="auto"/>
                    <w:bottom w:val="none" w:sz="0" w:space="0" w:color="auto"/>
                    <w:right w:val="none" w:sz="0" w:space="0" w:color="auto"/>
                  </w:divBdr>
                </w:div>
                <w:div w:id="280650468">
                  <w:marLeft w:val="0"/>
                  <w:marRight w:val="0"/>
                  <w:marTop w:val="0"/>
                  <w:marBottom w:val="0"/>
                  <w:divBdr>
                    <w:top w:val="none" w:sz="0" w:space="0" w:color="auto"/>
                    <w:left w:val="none" w:sz="0" w:space="0" w:color="auto"/>
                    <w:bottom w:val="none" w:sz="0" w:space="0" w:color="auto"/>
                    <w:right w:val="none" w:sz="0" w:space="0" w:color="auto"/>
                  </w:divBdr>
                  <w:divsChild>
                    <w:div w:id="1886019718">
                      <w:marLeft w:val="0"/>
                      <w:marRight w:val="0"/>
                      <w:marTop w:val="0"/>
                      <w:marBottom w:val="0"/>
                      <w:divBdr>
                        <w:top w:val="none" w:sz="0" w:space="0" w:color="auto"/>
                        <w:left w:val="none" w:sz="0" w:space="0" w:color="auto"/>
                        <w:bottom w:val="none" w:sz="0" w:space="0" w:color="auto"/>
                        <w:right w:val="none" w:sz="0" w:space="0" w:color="auto"/>
                      </w:divBdr>
                    </w:div>
                  </w:divsChild>
                </w:div>
                <w:div w:id="1860922611">
                  <w:marLeft w:val="0"/>
                  <w:marRight w:val="0"/>
                  <w:marTop w:val="0"/>
                  <w:marBottom w:val="0"/>
                  <w:divBdr>
                    <w:top w:val="none" w:sz="0" w:space="0" w:color="auto"/>
                    <w:left w:val="none" w:sz="0" w:space="0" w:color="auto"/>
                    <w:bottom w:val="none" w:sz="0" w:space="0" w:color="auto"/>
                    <w:right w:val="none" w:sz="0" w:space="0" w:color="auto"/>
                  </w:divBdr>
                </w:div>
                <w:div w:id="1255746933">
                  <w:marLeft w:val="0"/>
                  <w:marRight w:val="0"/>
                  <w:marTop w:val="0"/>
                  <w:marBottom w:val="0"/>
                  <w:divBdr>
                    <w:top w:val="none" w:sz="0" w:space="0" w:color="auto"/>
                    <w:left w:val="none" w:sz="0" w:space="0" w:color="auto"/>
                    <w:bottom w:val="none" w:sz="0" w:space="0" w:color="auto"/>
                    <w:right w:val="none" w:sz="0" w:space="0" w:color="auto"/>
                  </w:divBdr>
                  <w:divsChild>
                    <w:div w:id="1506241729">
                      <w:marLeft w:val="0"/>
                      <w:marRight w:val="0"/>
                      <w:marTop w:val="0"/>
                      <w:marBottom w:val="0"/>
                      <w:divBdr>
                        <w:top w:val="none" w:sz="0" w:space="0" w:color="auto"/>
                        <w:left w:val="none" w:sz="0" w:space="0" w:color="auto"/>
                        <w:bottom w:val="none" w:sz="0" w:space="0" w:color="auto"/>
                        <w:right w:val="none" w:sz="0" w:space="0" w:color="auto"/>
                      </w:divBdr>
                    </w:div>
                  </w:divsChild>
                </w:div>
                <w:div w:id="100028812">
                  <w:marLeft w:val="0"/>
                  <w:marRight w:val="0"/>
                  <w:marTop w:val="0"/>
                  <w:marBottom w:val="0"/>
                  <w:divBdr>
                    <w:top w:val="none" w:sz="0" w:space="0" w:color="auto"/>
                    <w:left w:val="none" w:sz="0" w:space="0" w:color="auto"/>
                    <w:bottom w:val="none" w:sz="0" w:space="0" w:color="auto"/>
                    <w:right w:val="none" w:sz="0" w:space="0" w:color="auto"/>
                  </w:divBdr>
                </w:div>
                <w:div w:id="2118939181">
                  <w:marLeft w:val="0"/>
                  <w:marRight w:val="0"/>
                  <w:marTop w:val="0"/>
                  <w:marBottom w:val="0"/>
                  <w:divBdr>
                    <w:top w:val="none" w:sz="0" w:space="0" w:color="auto"/>
                    <w:left w:val="none" w:sz="0" w:space="0" w:color="auto"/>
                    <w:bottom w:val="none" w:sz="0" w:space="0" w:color="auto"/>
                    <w:right w:val="none" w:sz="0" w:space="0" w:color="auto"/>
                  </w:divBdr>
                  <w:divsChild>
                    <w:div w:id="161704594">
                      <w:marLeft w:val="0"/>
                      <w:marRight w:val="0"/>
                      <w:marTop w:val="0"/>
                      <w:marBottom w:val="0"/>
                      <w:divBdr>
                        <w:top w:val="none" w:sz="0" w:space="0" w:color="auto"/>
                        <w:left w:val="none" w:sz="0" w:space="0" w:color="auto"/>
                        <w:bottom w:val="none" w:sz="0" w:space="0" w:color="auto"/>
                        <w:right w:val="none" w:sz="0" w:space="0" w:color="auto"/>
                      </w:divBdr>
                    </w:div>
                  </w:divsChild>
                </w:div>
                <w:div w:id="1589146619">
                  <w:marLeft w:val="0"/>
                  <w:marRight w:val="0"/>
                  <w:marTop w:val="0"/>
                  <w:marBottom w:val="0"/>
                  <w:divBdr>
                    <w:top w:val="none" w:sz="0" w:space="0" w:color="auto"/>
                    <w:left w:val="none" w:sz="0" w:space="0" w:color="auto"/>
                    <w:bottom w:val="none" w:sz="0" w:space="0" w:color="auto"/>
                    <w:right w:val="none" w:sz="0" w:space="0" w:color="auto"/>
                  </w:divBdr>
                </w:div>
                <w:div w:id="140077291">
                  <w:marLeft w:val="0"/>
                  <w:marRight w:val="0"/>
                  <w:marTop w:val="0"/>
                  <w:marBottom w:val="0"/>
                  <w:divBdr>
                    <w:top w:val="none" w:sz="0" w:space="0" w:color="auto"/>
                    <w:left w:val="none" w:sz="0" w:space="0" w:color="auto"/>
                    <w:bottom w:val="none" w:sz="0" w:space="0" w:color="auto"/>
                    <w:right w:val="none" w:sz="0" w:space="0" w:color="auto"/>
                  </w:divBdr>
                  <w:divsChild>
                    <w:div w:id="507330011">
                      <w:marLeft w:val="0"/>
                      <w:marRight w:val="0"/>
                      <w:marTop w:val="0"/>
                      <w:marBottom w:val="0"/>
                      <w:divBdr>
                        <w:top w:val="none" w:sz="0" w:space="0" w:color="auto"/>
                        <w:left w:val="none" w:sz="0" w:space="0" w:color="auto"/>
                        <w:bottom w:val="none" w:sz="0" w:space="0" w:color="auto"/>
                        <w:right w:val="none" w:sz="0" w:space="0" w:color="auto"/>
                      </w:divBdr>
                    </w:div>
                  </w:divsChild>
                </w:div>
                <w:div w:id="953561920">
                  <w:marLeft w:val="0"/>
                  <w:marRight w:val="0"/>
                  <w:marTop w:val="0"/>
                  <w:marBottom w:val="0"/>
                  <w:divBdr>
                    <w:top w:val="none" w:sz="0" w:space="0" w:color="auto"/>
                    <w:left w:val="none" w:sz="0" w:space="0" w:color="auto"/>
                    <w:bottom w:val="none" w:sz="0" w:space="0" w:color="auto"/>
                    <w:right w:val="none" w:sz="0" w:space="0" w:color="auto"/>
                  </w:divBdr>
                </w:div>
                <w:div w:id="1317028722">
                  <w:marLeft w:val="0"/>
                  <w:marRight w:val="0"/>
                  <w:marTop w:val="0"/>
                  <w:marBottom w:val="0"/>
                  <w:divBdr>
                    <w:top w:val="none" w:sz="0" w:space="0" w:color="auto"/>
                    <w:left w:val="none" w:sz="0" w:space="0" w:color="auto"/>
                    <w:bottom w:val="none" w:sz="0" w:space="0" w:color="auto"/>
                    <w:right w:val="none" w:sz="0" w:space="0" w:color="auto"/>
                  </w:divBdr>
                  <w:divsChild>
                    <w:div w:id="831484111">
                      <w:marLeft w:val="0"/>
                      <w:marRight w:val="0"/>
                      <w:marTop w:val="0"/>
                      <w:marBottom w:val="0"/>
                      <w:divBdr>
                        <w:top w:val="none" w:sz="0" w:space="0" w:color="auto"/>
                        <w:left w:val="none" w:sz="0" w:space="0" w:color="auto"/>
                        <w:bottom w:val="none" w:sz="0" w:space="0" w:color="auto"/>
                        <w:right w:val="none" w:sz="0" w:space="0" w:color="auto"/>
                      </w:divBdr>
                    </w:div>
                  </w:divsChild>
                </w:div>
                <w:div w:id="2027366534">
                  <w:marLeft w:val="0"/>
                  <w:marRight w:val="0"/>
                  <w:marTop w:val="0"/>
                  <w:marBottom w:val="0"/>
                  <w:divBdr>
                    <w:top w:val="none" w:sz="0" w:space="0" w:color="auto"/>
                    <w:left w:val="none" w:sz="0" w:space="0" w:color="auto"/>
                    <w:bottom w:val="none" w:sz="0" w:space="0" w:color="auto"/>
                    <w:right w:val="none" w:sz="0" w:space="0" w:color="auto"/>
                  </w:divBdr>
                </w:div>
                <w:div w:id="948123297">
                  <w:marLeft w:val="0"/>
                  <w:marRight w:val="0"/>
                  <w:marTop w:val="0"/>
                  <w:marBottom w:val="0"/>
                  <w:divBdr>
                    <w:top w:val="none" w:sz="0" w:space="0" w:color="auto"/>
                    <w:left w:val="none" w:sz="0" w:space="0" w:color="auto"/>
                    <w:bottom w:val="none" w:sz="0" w:space="0" w:color="auto"/>
                    <w:right w:val="none" w:sz="0" w:space="0" w:color="auto"/>
                  </w:divBdr>
                  <w:divsChild>
                    <w:div w:id="1001472553">
                      <w:marLeft w:val="0"/>
                      <w:marRight w:val="0"/>
                      <w:marTop w:val="0"/>
                      <w:marBottom w:val="0"/>
                      <w:divBdr>
                        <w:top w:val="none" w:sz="0" w:space="0" w:color="auto"/>
                        <w:left w:val="none" w:sz="0" w:space="0" w:color="auto"/>
                        <w:bottom w:val="none" w:sz="0" w:space="0" w:color="auto"/>
                        <w:right w:val="none" w:sz="0" w:space="0" w:color="auto"/>
                      </w:divBdr>
                    </w:div>
                  </w:divsChild>
                </w:div>
                <w:div w:id="1517647020">
                  <w:marLeft w:val="0"/>
                  <w:marRight w:val="0"/>
                  <w:marTop w:val="0"/>
                  <w:marBottom w:val="0"/>
                  <w:divBdr>
                    <w:top w:val="none" w:sz="0" w:space="0" w:color="auto"/>
                    <w:left w:val="none" w:sz="0" w:space="0" w:color="auto"/>
                    <w:bottom w:val="none" w:sz="0" w:space="0" w:color="auto"/>
                    <w:right w:val="none" w:sz="0" w:space="0" w:color="auto"/>
                  </w:divBdr>
                </w:div>
                <w:div w:id="1945843595">
                  <w:marLeft w:val="0"/>
                  <w:marRight w:val="0"/>
                  <w:marTop w:val="0"/>
                  <w:marBottom w:val="0"/>
                  <w:divBdr>
                    <w:top w:val="none" w:sz="0" w:space="0" w:color="auto"/>
                    <w:left w:val="none" w:sz="0" w:space="0" w:color="auto"/>
                    <w:bottom w:val="none" w:sz="0" w:space="0" w:color="auto"/>
                    <w:right w:val="none" w:sz="0" w:space="0" w:color="auto"/>
                  </w:divBdr>
                  <w:divsChild>
                    <w:div w:id="642391078">
                      <w:marLeft w:val="0"/>
                      <w:marRight w:val="0"/>
                      <w:marTop w:val="0"/>
                      <w:marBottom w:val="0"/>
                      <w:divBdr>
                        <w:top w:val="none" w:sz="0" w:space="0" w:color="auto"/>
                        <w:left w:val="none" w:sz="0" w:space="0" w:color="auto"/>
                        <w:bottom w:val="none" w:sz="0" w:space="0" w:color="auto"/>
                        <w:right w:val="none" w:sz="0" w:space="0" w:color="auto"/>
                      </w:divBdr>
                    </w:div>
                  </w:divsChild>
                </w:div>
                <w:div w:id="1946227719">
                  <w:marLeft w:val="0"/>
                  <w:marRight w:val="0"/>
                  <w:marTop w:val="0"/>
                  <w:marBottom w:val="0"/>
                  <w:divBdr>
                    <w:top w:val="none" w:sz="0" w:space="0" w:color="auto"/>
                    <w:left w:val="none" w:sz="0" w:space="0" w:color="auto"/>
                    <w:bottom w:val="none" w:sz="0" w:space="0" w:color="auto"/>
                    <w:right w:val="none" w:sz="0" w:space="0" w:color="auto"/>
                  </w:divBdr>
                </w:div>
                <w:div w:id="969166238">
                  <w:marLeft w:val="0"/>
                  <w:marRight w:val="0"/>
                  <w:marTop w:val="0"/>
                  <w:marBottom w:val="0"/>
                  <w:divBdr>
                    <w:top w:val="none" w:sz="0" w:space="0" w:color="auto"/>
                    <w:left w:val="none" w:sz="0" w:space="0" w:color="auto"/>
                    <w:bottom w:val="none" w:sz="0" w:space="0" w:color="auto"/>
                    <w:right w:val="none" w:sz="0" w:space="0" w:color="auto"/>
                  </w:divBdr>
                  <w:divsChild>
                    <w:div w:id="1567645561">
                      <w:marLeft w:val="0"/>
                      <w:marRight w:val="0"/>
                      <w:marTop w:val="0"/>
                      <w:marBottom w:val="0"/>
                      <w:divBdr>
                        <w:top w:val="none" w:sz="0" w:space="0" w:color="auto"/>
                        <w:left w:val="none" w:sz="0" w:space="0" w:color="auto"/>
                        <w:bottom w:val="none" w:sz="0" w:space="0" w:color="auto"/>
                        <w:right w:val="none" w:sz="0" w:space="0" w:color="auto"/>
                      </w:divBdr>
                    </w:div>
                  </w:divsChild>
                </w:div>
                <w:div w:id="864636505">
                  <w:marLeft w:val="0"/>
                  <w:marRight w:val="0"/>
                  <w:marTop w:val="0"/>
                  <w:marBottom w:val="0"/>
                  <w:divBdr>
                    <w:top w:val="none" w:sz="0" w:space="0" w:color="auto"/>
                    <w:left w:val="none" w:sz="0" w:space="0" w:color="auto"/>
                    <w:bottom w:val="none" w:sz="0" w:space="0" w:color="auto"/>
                    <w:right w:val="none" w:sz="0" w:space="0" w:color="auto"/>
                  </w:divBdr>
                </w:div>
                <w:div w:id="1187794343">
                  <w:marLeft w:val="0"/>
                  <w:marRight w:val="0"/>
                  <w:marTop w:val="0"/>
                  <w:marBottom w:val="0"/>
                  <w:divBdr>
                    <w:top w:val="none" w:sz="0" w:space="0" w:color="auto"/>
                    <w:left w:val="none" w:sz="0" w:space="0" w:color="auto"/>
                    <w:bottom w:val="none" w:sz="0" w:space="0" w:color="auto"/>
                    <w:right w:val="none" w:sz="0" w:space="0" w:color="auto"/>
                  </w:divBdr>
                  <w:divsChild>
                    <w:div w:id="1174884293">
                      <w:marLeft w:val="0"/>
                      <w:marRight w:val="0"/>
                      <w:marTop w:val="0"/>
                      <w:marBottom w:val="0"/>
                      <w:divBdr>
                        <w:top w:val="none" w:sz="0" w:space="0" w:color="auto"/>
                        <w:left w:val="none" w:sz="0" w:space="0" w:color="auto"/>
                        <w:bottom w:val="none" w:sz="0" w:space="0" w:color="auto"/>
                        <w:right w:val="none" w:sz="0" w:space="0" w:color="auto"/>
                      </w:divBdr>
                    </w:div>
                  </w:divsChild>
                </w:div>
                <w:div w:id="807237903">
                  <w:marLeft w:val="0"/>
                  <w:marRight w:val="0"/>
                  <w:marTop w:val="0"/>
                  <w:marBottom w:val="0"/>
                  <w:divBdr>
                    <w:top w:val="none" w:sz="0" w:space="0" w:color="auto"/>
                    <w:left w:val="none" w:sz="0" w:space="0" w:color="auto"/>
                    <w:bottom w:val="none" w:sz="0" w:space="0" w:color="auto"/>
                    <w:right w:val="none" w:sz="0" w:space="0" w:color="auto"/>
                  </w:divBdr>
                </w:div>
                <w:div w:id="1580676055">
                  <w:marLeft w:val="0"/>
                  <w:marRight w:val="0"/>
                  <w:marTop w:val="0"/>
                  <w:marBottom w:val="0"/>
                  <w:divBdr>
                    <w:top w:val="none" w:sz="0" w:space="0" w:color="auto"/>
                    <w:left w:val="none" w:sz="0" w:space="0" w:color="auto"/>
                    <w:bottom w:val="none" w:sz="0" w:space="0" w:color="auto"/>
                    <w:right w:val="none" w:sz="0" w:space="0" w:color="auto"/>
                  </w:divBdr>
                  <w:divsChild>
                    <w:div w:id="1732968827">
                      <w:marLeft w:val="0"/>
                      <w:marRight w:val="0"/>
                      <w:marTop w:val="0"/>
                      <w:marBottom w:val="0"/>
                      <w:divBdr>
                        <w:top w:val="none" w:sz="0" w:space="0" w:color="auto"/>
                        <w:left w:val="none" w:sz="0" w:space="0" w:color="auto"/>
                        <w:bottom w:val="none" w:sz="0" w:space="0" w:color="auto"/>
                        <w:right w:val="none" w:sz="0" w:space="0" w:color="auto"/>
                      </w:divBdr>
                    </w:div>
                  </w:divsChild>
                </w:div>
                <w:div w:id="1356619817">
                  <w:marLeft w:val="0"/>
                  <w:marRight w:val="0"/>
                  <w:marTop w:val="0"/>
                  <w:marBottom w:val="0"/>
                  <w:divBdr>
                    <w:top w:val="none" w:sz="0" w:space="0" w:color="auto"/>
                    <w:left w:val="none" w:sz="0" w:space="0" w:color="auto"/>
                    <w:bottom w:val="none" w:sz="0" w:space="0" w:color="auto"/>
                    <w:right w:val="none" w:sz="0" w:space="0" w:color="auto"/>
                  </w:divBdr>
                </w:div>
                <w:div w:id="1784763409">
                  <w:marLeft w:val="0"/>
                  <w:marRight w:val="0"/>
                  <w:marTop w:val="0"/>
                  <w:marBottom w:val="0"/>
                  <w:divBdr>
                    <w:top w:val="none" w:sz="0" w:space="0" w:color="auto"/>
                    <w:left w:val="none" w:sz="0" w:space="0" w:color="auto"/>
                    <w:bottom w:val="none" w:sz="0" w:space="0" w:color="auto"/>
                    <w:right w:val="none" w:sz="0" w:space="0" w:color="auto"/>
                  </w:divBdr>
                  <w:divsChild>
                    <w:div w:id="844056747">
                      <w:marLeft w:val="0"/>
                      <w:marRight w:val="0"/>
                      <w:marTop w:val="0"/>
                      <w:marBottom w:val="0"/>
                      <w:divBdr>
                        <w:top w:val="none" w:sz="0" w:space="0" w:color="auto"/>
                        <w:left w:val="none" w:sz="0" w:space="0" w:color="auto"/>
                        <w:bottom w:val="none" w:sz="0" w:space="0" w:color="auto"/>
                        <w:right w:val="none" w:sz="0" w:space="0" w:color="auto"/>
                      </w:divBdr>
                    </w:div>
                  </w:divsChild>
                </w:div>
                <w:div w:id="945234287">
                  <w:marLeft w:val="0"/>
                  <w:marRight w:val="0"/>
                  <w:marTop w:val="0"/>
                  <w:marBottom w:val="0"/>
                  <w:divBdr>
                    <w:top w:val="none" w:sz="0" w:space="0" w:color="auto"/>
                    <w:left w:val="none" w:sz="0" w:space="0" w:color="auto"/>
                    <w:bottom w:val="none" w:sz="0" w:space="0" w:color="auto"/>
                    <w:right w:val="none" w:sz="0" w:space="0" w:color="auto"/>
                  </w:divBdr>
                </w:div>
                <w:div w:id="201018370">
                  <w:marLeft w:val="0"/>
                  <w:marRight w:val="0"/>
                  <w:marTop w:val="0"/>
                  <w:marBottom w:val="0"/>
                  <w:divBdr>
                    <w:top w:val="none" w:sz="0" w:space="0" w:color="auto"/>
                    <w:left w:val="none" w:sz="0" w:space="0" w:color="auto"/>
                    <w:bottom w:val="none" w:sz="0" w:space="0" w:color="auto"/>
                    <w:right w:val="none" w:sz="0" w:space="0" w:color="auto"/>
                  </w:divBdr>
                  <w:divsChild>
                    <w:div w:id="845444405">
                      <w:marLeft w:val="0"/>
                      <w:marRight w:val="0"/>
                      <w:marTop w:val="0"/>
                      <w:marBottom w:val="0"/>
                      <w:divBdr>
                        <w:top w:val="none" w:sz="0" w:space="0" w:color="auto"/>
                        <w:left w:val="none" w:sz="0" w:space="0" w:color="auto"/>
                        <w:bottom w:val="none" w:sz="0" w:space="0" w:color="auto"/>
                        <w:right w:val="none" w:sz="0" w:space="0" w:color="auto"/>
                      </w:divBdr>
                    </w:div>
                  </w:divsChild>
                </w:div>
                <w:div w:id="250622594">
                  <w:marLeft w:val="0"/>
                  <w:marRight w:val="0"/>
                  <w:marTop w:val="0"/>
                  <w:marBottom w:val="0"/>
                  <w:divBdr>
                    <w:top w:val="none" w:sz="0" w:space="0" w:color="auto"/>
                    <w:left w:val="none" w:sz="0" w:space="0" w:color="auto"/>
                    <w:bottom w:val="none" w:sz="0" w:space="0" w:color="auto"/>
                    <w:right w:val="none" w:sz="0" w:space="0" w:color="auto"/>
                  </w:divBdr>
                </w:div>
                <w:div w:id="323362975">
                  <w:marLeft w:val="0"/>
                  <w:marRight w:val="0"/>
                  <w:marTop w:val="0"/>
                  <w:marBottom w:val="0"/>
                  <w:divBdr>
                    <w:top w:val="none" w:sz="0" w:space="0" w:color="auto"/>
                    <w:left w:val="none" w:sz="0" w:space="0" w:color="auto"/>
                    <w:bottom w:val="none" w:sz="0" w:space="0" w:color="auto"/>
                    <w:right w:val="none" w:sz="0" w:space="0" w:color="auto"/>
                  </w:divBdr>
                  <w:divsChild>
                    <w:div w:id="825626362">
                      <w:marLeft w:val="0"/>
                      <w:marRight w:val="0"/>
                      <w:marTop w:val="0"/>
                      <w:marBottom w:val="0"/>
                      <w:divBdr>
                        <w:top w:val="none" w:sz="0" w:space="0" w:color="auto"/>
                        <w:left w:val="none" w:sz="0" w:space="0" w:color="auto"/>
                        <w:bottom w:val="none" w:sz="0" w:space="0" w:color="auto"/>
                        <w:right w:val="none" w:sz="0" w:space="0" w:color="auto"/>
                      </w:divBdr>
                    </w:div>
                  </w:divsChild>
                </w:div>
                <w:div w:id="2022778883">
                  <w:marLeft w:val="0"/>
                  <w:marRight w:val="0"/>
                  <w:marTop w:val="0"/>
                  <w:marBottom w:val="0"/>
                  <w:divBdr>
                    <w:top w:val="none" w:sz="0" w:space="0" w:color="auto"/>
                    <w:left w:val="none" w:sz="0" w:space="0" w:color="auto"/>
                    <w:bottom w:val="none" w:sz="0" w:space="0" w:color="auto"/>
                    <w:right w:val="none" w:sz="0" w:space="0" w:color="auto"/>
                  </w:divBdr>
                </w:div>
                <w:div w:id="267473282">
                  <w:marLeft w:val="0"/>
                  <w:marRight w:val="0"/>
                  <w:marTop w:val="0"/>
                  <w:marBottom w:val="0"/>
                  <w:divBdr>
                    <w:top w:val="none" w:sz="0" w:space="0" w:color="auto"/>
                    <w:left w:val="none" w:sz="0" w:space="0" w:color="auto"/>
                    <w:bottom w:val="none" w:sz="0" w:space="0" w:color="auto"/>
                    <w:right w:val="none" w:sz="0" w:space="0" w:color="auto"/>
                  </w:divBdr>
                  <w:divsChild>
                    <w:div w:id="2138520534">
                      <w:marLeft w:val="0"/>
                      <w:marRight w:val="0"/>
                      <w:marTop w:val="0"/>
                      <w:marBottom w:val="0"/>
                      <w:divBdr>
                        <w:top w:val="none" w:sz="0" w:space="0" w:color="auto"/>
                        <w:left w:val="none" w:sz="0" w:space="0" w:color="auto"/>
                        <w:bottom w:val="none" w:sz="0" w:space="0" w:color="auto"/>
                        <w:right w:val="none" w:sz="0" w:space="0" w:color="auto"/>
                      </w:divBdr>
                    </w:div>
                  </w:divsChild>
                </w:div>
                <w:div w:id="426393587">
                  <w:marLeft w:val="0"/>
                  <w:marRight w:val="0"/>
                  <w:marTop w:val="0"/>
                  <w:marBottom w:val="0"/>
                  <w:divBdr>
                    <w:top w:val="none" w:sz="0" w:space="0" w:color="auto"/>
                    <w:left w:val="none" w:sz="0" w:space="0" w:color="auto"/>
                    <w:bottom w:val="none" w:sz="0" w:space="0" w:color="auto"/>
                    <w:right w:val="none" w:sz="0" w:space="0" w:color="auto"/>
                  </w:divBdr>
                </w:div>
                <w:div w:id="616527576">
                  <w:marLeft w:val="0"/>
                  <w:marRight w:val="0"/>
                  <w:marTop w:val="0"/>
                  <w:marBottom w:val="0"/>
                  <w:divBdr>
                    <w:top w:val="none" w:sz="0" w:space="0" w:color="auto"/>
                    <w:left w:val="none" w:sz="0" w:space="0" w:color="auto"/>
                    <w:bottom w:val="none" w:sz="0" w:space="0" w:color="auto"/>
                    <w:right w:val="none" w:sz="0" w:space="0" w:color="auto"/>
                  </w:divBdr>
                  <w:divsChild>
                    <w:div w:id="1817994048">
                      <w:marLeft w:val="0"/>
                      <w:marRight w:val="0"/>
                      <w:marTop w:val="0"/>
                      <w:marBottom w:val="0"/>
                      <w:divBdr>
                        <w:top w:val="none" w:sz="0" w:space="0" w:color="auto"/>
                        <w:left w:val="none" w:sz="0" w:space="0" w:color="auto"/>
                        <w:bottom w:val="none" w:sz="0" w:space="0" w:color="auto"/>
                        <w:right w:val="none" w:sz="0" w:space="0" w:color="auto"/>
                      </w:divBdr>
                    </w:div>
                  </w:divsChild>
                </w:div>
                <w:div w:id="1664890570">
                  <w:marLeft w:val="0"/>
                  <w:marRight w:val="0"/>
                  <w:marTop w:val="0"/>
                  <w:marBottom w:val="0"/>
                  <w:divBdr>
                    <w:top w:val="none" w:sz="0" w:space="0" w:color="auto"/>
                    <w:left w:val="none" w:sz="0" w:space="0" w:color="auto"/>
                    <w:bottom w:val="none" w:sz="0" w:space="0" w:color="auto"/>
                    <w:right w:val="none" w:sz="0" w:space="0" w:color="auto"/>
                  </w:divBdr>
                </w:div>
                <w:div w:id="382825064">
                  <w:marLeft w:val="0"/>
                  <w:marRight w:val="0"/>
                  <w:marTop w:val="0"/>
                  <w:marBottom w:val="0"/>
                  <w:divBdr>
                    <w:top w:val="none" w:sz="0" w:space="0" w:color="auto"/>
                    <w:left w:val="none" w:sz="0" w:space="0" w:color="auto"/>
                    <w:bottom w:val="none" w:sz="0" w:space="0" w:color="auto"/>
                    <w:right w:val="none" w:sz="0" w:space="0" w:color="auto"/>
                  </w:divBdr>
                  <w:divsChild>
                    <w:div w:id="199710470">
                      <w:marLeft w:val="0"/>
                      <w:marRight w:val="0"/>
                      <w:marTop w:val="0"/>
                      <w:marBottom w:val="0"/>
                      <w:divBdr>
                        <w:top w:val="none" w:sz="0" w:space="0" w:color="auto"/>
                        <w:left w:val="none" w:sz="0" w:space="0" w:color="auto"/>
                        <w:bottom w:val="none" w:sz="0" w:space="0" w:color="auto"/>
                        <w:right w:val="none" w:sz="0" w:space="0" w:color="auto"/>
                      </w:divBdr>
                    </w:div>
                  </w:divsChild>
                </w:div>
                <w:div w:id="535847005">
                  <w:marLeft w:val="0"/>
                  <w:marRight w:val="0"/>
                  <w:marTop w:val="0"/>
                  <w:marBottom w:val="0"/>
                  <w:divBdr>
                    <w:top w:val="none" w:sz="0" w:space="0" w:color="auto"/>
                    <w:left w:val="none" w:sz="0" w:space="0" w:color="auto"/>
                    <w:bottom w:val="none" w:sz="0" w:space="0" w:color="auto"/>
                    <w:right w:val="none" w:sz="0" w:space="0" w:color="auto"/>
                  </w:divBdr>
                </w:div>
                <w:div w:id="1359040268">
                  <w:marLeft w:val="0"/>
                  <w:marRight w:val="0"/>
                  <w:marTop w:val="0"/>
                  <w:marBottom w:val="0"/>
                  <w:divBdr>
                    <w:top w:val="none" w:sz="0" w:space="0" w:color="auto"/>
                    <w:left w:val="none" w:sz="0" w:space="0" w:color="auto"/>
                    <w:bottom w:val="none" w:sz="0" w:space="0" w:color="auto"/>
                    <w:right w:val="none" w:sz="0" w:space="0" w:color="auto"/>
                  </w:divBdr>
                  <w:divsChild>
                    <w:div w:id="38435881">
                      <w:marLeft w:val="0"/>
                      <w:marRight w:val="0"/>
                      <w:marTop w:val="0"/>
                      <w:marBottom w:val="0"/>
                      <w:divBdr>
                        <w:top w:val="none" w:sz="0" w:space="0" w:color="auto"/>
                        <w:left w:val="none" w:sz="0" w:space="0" w:color="auto"/>
                        <w:bottom w:val="none" w:sz="0" w:space="0" w:color="auto"/>
                        <w:right w:val="none" w:sz="0" w:space="0" w:color="auto"/>
                      </w:divBdr>
                    </w:div>
                  </w:divsChild>
                </w:div>
                <w:div w:id="408305549">
                  <w:marLeft w:val="0"/>
                  <w:marRight w:val="0"/>
                  <w:marTop w:val="0"/>
                  <w:marBottom w:val="0"/>
                  <w:divBdr>
                    <w:top w:val="none" w:sz="0" w:space="0" w:color="auto"/>
                    <w:left w:val="none" w:sz="0" w:space="0" w:color="auto"/>
                    <w:bottom w:val="none" w:sz="0" w:space="0" w:color="auto"/>
                    <w:right w:val="none" w:sz="0" w:space="0" w:color="auto"/>
                  </w:divBdr>
                </w:div>
                <w:div w:id="129328377">
                  <w:marLeft w:val="0"/>
                  <w:marRight w:val="0"/>
                  <w:marTop w:val="0"/>
                  <w:marBottom w:val="0"/>
                  <w:divBdr>
                    <w:top w:val="none" w:sz="0" w:space="0" w:color="auto"/>
                    <w:left w:val="none" w:sz="0" w:space="0" w:color="auto"/>
                    <w:bottom w:val="none" w:sz="0" w:space="0" w:color="auto"/>
                    <w:right w:val="none" w:sz="0" w:space="0" w:color="auto"/>
                  </w:divBdr>
                  <w:divsChild>
                    <w:div w:id="411971577">
                      <w:marLeft w:val="0"/>
                      <w:marRight w:val="0"/>
                      <w:marTop w:val="0"/>
                      <w:marBottom w:val="0"/>
                      <w:divBdr>
                        <w:top w:val="none" w:sz="0" w:space="0" w:color="auto"/>
                        <w:left w:val="none" w:sz="0" w:space="0" w:color="auto"/>
                        <w:bottom w:val="none" w:sz="0" w:space="0" w:color="auto"/>
                        <w:right w:val="none" w:sz="0" w:space="0" w:color="auto"/>
                      </w:divBdr>
                    </w:div>
                  </w:divsChild>
                </w:div>
                <w:div w:id="1140465742">
                  <w:marLeft w:val="0"/>
                  <w:marRight w:val="0"/>
                  <w:marTop w:val="0"/>
                  <w:marBottom w:val="0"/>
                  <w:divBdr>
                    <w:top w:val="none" w:sz="0" w:space="0" w:color="auto"/>
                    <w:left w:val="none" w:sz="0" w:space="0" w:color="auto"/>
                    <w:bottom w:val="none" w:sz="0" w:space="0" w:color="auto"/>
                    <w:right w:val="none" w:sz="0" w:space="0" w:color="auto"/>
                  </w:divBdr>
                </w:div>
                <w:div w:id="1141996206">
                  <w:marLeft w:val="0"/>
                  <w:marRight w:val="0"/>
                  <w:marTop w:val="0"/>
                  <w:marBottom w:val="0"/>
                  <w:divBdr>
                    <w:top w:val="none" w:sz="0" w:space="0" w:color="auto"/>
                    <w:left w:val="none" w:sz="0" w:space="0" w:color="auto"/>
                    <w:bottom w:val="none" w:sz="0" w:space="0" w:color="auto"/>
                    <w:right w:val="none" w:sz="0" w:space="0" w:color="auto"/>
                  </w:divBdr>
                  <w:divsChild>
                    <w:div w:id="1772779220">
                      <w:marLeft w:val="0"/>
                      <w:marRight w:val="0"/>
                      <w:marTop w:val="0"/>
                      <w:marBottom w:val="0"/>
                      <w:divBdr>
                        <w:top w:val="none" w:sz="0" w:space="0" w:color="auto"/>
                        <w:left w:val="none" w:sz="0" w:space="0" w:color="auto"/>
                        <w:bottom w:val="none" w:sz="0" w:space="0" w:color="auto"/>
                        <w:right w:val="none" w:sz="0" w:space="0" w:color="auto"/>
                      </w:divBdr>
                    </w:div>
                  </w:divsChild>
                </w:div>
                <w:div w:id="611792125">
                  <w:marLeft w:val="0"/>
                  <w:marRight w:val="0"/>
                  <w:marTop w:val="0"/>
                  <w:marBottom w:val="0"/>
                  <w:divBdr>
                    <w:top w:val="none" w:sz="0" w:space="0" w:color="auto"/>
                    <w:left w:val="none" w:sz="0" w:space="0" w:color="auto"/>
                    <w:bottom w:val="none" w:sz="0" w:space="0" w:color="auto"/>
                    <w:right w:val="none" w:sz="0" w:space="0" w:color="auto"/>
                  </w:divBdr>
                </w:div>
                <w:div w:id="1983657767">
                  <w:marLeft w:val="0"/>
                  <w:marRight w:val="0"/>
                  <w:marTop w:val="0"/>
                  <w:marBottom w:val="0"/>
                  <w:divBdr>
                    <w:top w:val="none" w:sz="0" w:space="0" w:color="auto"/>
                    <w:left w:val="none" w:sz="0" w:space="0" w:color="auto"/>
                    <w:bottom w:val="none" w:sz="0" w:space="0" w:color="auto"/>
                    <w:right w:val="none" w:sz="0" w:space="0" w:color="auto"/>
                  </w:divBdr>
                  <w:divsChild>
                    <w:div w:id="1453598265">
                      <w:marLeft w:val="0"/>
                      <w:marRight w:val="0"/>
                      <w:marTop w:val="0"/>
                      <w:marBottom w:val="0"/>
                      <w:divBdr>
                        <w:top w:val="none" w:sz="0" w:space="0" w:color="auto"/>
                        <w:left w:val="none" w:sz="0" w:space="0" w:color="auto"/>
                        <w:bottom w:val="none" w:sz="0" w:space="0" w:color="auto"/>
                        <w:right w:val="none" w:sz="0" w:space="0" w:color="auto"/>
                      </w:divBdr>
                    </w:div>
                  </w:divsChild>
                </w:div>
                <w:div w:id="2050957458">
                  <w:marLeft w:val="0"/>
                  <w:marRight w:val="0"/>
                  <w:marTop w:val="0"/>
                  <w:marBottom w:val="0"/>
                  <w:divBdr>
                    <w:top w:val="none" w:sz="0" w:space="0" w:color="auto"/>
                    <w:left w:val="none" w:sz="0" w:space="0" w:color="auto"/>
                    <w:bottom w:val="none" w:sz="0" w:space="0" w:color="auto"/>
                    <w:right w:val="none" w:sz="0" w:space="0" w:color="auto"/>
                  </w:divBdr>
                </w:div>
                <w:div w:id="1187598930">
                  <w:marLeft w:val="0"/>
                  <w:marRight w:val="0"/>
                  <w:marTop w:val="0"/>
                  <w:marBottom w:val="0"/>
                  <w:divBdr>
                    <w:top w:val="none" w:sz="0" w:space="0" w:color="auto"/>
                    <w:left w:val="none" w:sz="0" w:space="0" w:color="auto"/>
                    <w:bottom w:val="none" w:sz="0" w:space="0" w:color="auto"/>
                    <w:right w:val="none" w:sz="0" w:space="0" w:color="auto"/>
                  </w:divBdr>
                  <w:divsChild>
                    <w:div w:id="326716960">
                      <w:marLeft w:val="0"/>
                      <w:marRight w:val="0"/>
                      <w:marTop w:val="0"/>
                      <w:marBottom w:val="0"/>
                      <w:divBdr>
                        <w:top w:val="none" w:sz="0" w:space="0" w:color="auto"/>
                        <w:left w:val="none" w:sz="0" w:space="0" w:color="auto"/>
                        <w:bottom w:val="none" w:sz="0" w:space="0" w:color="auto"/>
                        <w:right w:val="none" w:sz="0" w:space="0" w:color="auto"/>
                      </w:divBdr>
                    </w:div>
                  </w:divsChild>
                </w:div>
                <w:div w:id="1163005256">
                  <w:marLeft w:val="0"/>
                  <w:marRight w:val="0"/>
                  <w:marTop w:val="0"/>
                  <w:marBottom w:val="0"/>
                  <w:divBdr>
                    <w:top w:val="none" w:sz="0" w:space="0" w:color="auto"/>
                    <w:left w:val="none" w:sz="0" w:space="0" w:color="auto"/>
                    <w:bottom w:val="none" w:sz="0" w:space="0" w:color="auto"/>
                    <w:right w:val="none" w:sz="0" w:space="0" w:color="auto"/>
                  </w:divBdr>
                </w:div>
                <w:div w:id="707802050">
                  <w:marLeft w:val="0"/>
                  <w:marRight w:val="0"/>
                  <w:marTop w:val="0"/>
                  <w:marBottom w:val="0"/>
                  <w:divBdr>
                    <w:top w:val="none" w:sz="0" w:space="0" w:color="auto"/>
                    <w:left w:val="none" w:sz="0" w:space="0" w:color="auto"/>
                    <w:bottom w:val="none" w:sz="0" w:space="0" w:color="auto"/>
                    <w:right w:val="none" w:sz="0" w:space="0" w:color="auto"/>
                  </w:divBdr>
                  <w:divsChild>
                    <w:div w:id="477890295">
                      <w:marLeft w:val="0"/>
                      <w:marRight w:val="0"/>
                      <w:marTop w:val="0"/>
                      <w:marBottom w:val="0"/>
                      <w:divBdr>
                        <w:top w:val="none" w:sz="0" w:space="0" w:color="auto"/>
                        <w:left w:val="none" w:sz="0" w:space="0" w:color="auto"/>
                        <w:bottom w:val="none" w:sz="0" w:space="0" w:color="auto"/>
                        <w:right w:val="none" w:sz="0" w:space="0" w:color="auto"/>
                      </w:divBdr>
                    </w:div>
                  </w:divsChild>
                </w:div>
                <w:div w:id="11068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6191">
          <w:marLeft w:val="0"/>
          <w:marRight w:val="0"/>
          <w:marTop w:val="0"/>
          <w:marBottom w:val="0"/>
          <w:divBdr>
            <w:top w:val="none" w:sz="0" w:space="0" w:color="auto"/>
            <w:left w:val="none" w:sz="0" w:space="0" w:color="auto"/>
            <w:bottom w:val="none" w:sz="0" w:space="0" w:color="auto"/>
            <w:right w:val="none" w:sz="0" w:space="0" w:color="auto"/>
          </w:divBdr>
          <w:divsChild>
            <w:div w:id="1457025720">
              <w:marLeft w:val="-180"/>
              <w:marRight w:val="-180"/>
              <w:marTop w:val="0"/>
              <w:marBottom w:val="0"/>
              <w:divBdr>
                <w:top w:val="none" w:sz="0" w:space="0" w:color="auto"/>
                <w:left w:val="none" w:sz="0" w:space="0" w:color="auto"/>
                <w:bottom w:val="none" w:sz="0" w:space="0" w:color="auto"/>
                <w:right w:val="none" w:sz="0" w:space="0" w:color="auto"/>
              </w:divBdr>
              <w:divsChild>
                <w:div w:id="1485320453">
                  <w:marLeft w:val="6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Lisandra Torres</dc:creator>
  <cp:lastModifiedBy>Kyeni</cp:lastModifiedBy>
  <cp:revision>2</cp:revision>
  <dcterms:created xsi:type="dcterms:W3CDTF">2017-12-20T01:32:00Z</dcterms:created>
  <dcterms:modified xsi:type="dcterms:W3CDTF">2017-12-20T01:32:00Z</dcterms:modified>
</cp:coreProperties>
</file>