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27B" w:rsidRPr="00A4227B" w:rsidRDefault="00A4227B" w:rsidP="00A4227B">
      <w:pPr>
        <w:autoSpaceDE w:val="0"/>
        <w:autoSpaceDN w:val="0"/>
        <w:adjustRightInd w:val="0"/>
        <w:rPr>
          <w:rFonts w:ascii="Times New Roman" w:hAnsi="Times New Roman" w:cs="Times New Roman"/>
          <w:color w:val="262626"/>
          <w:sz w:val="40"/>
          <w:szCs w:val="40"/>
        </w:rPr>
      </w:pPr>
      <w:bookmarkStart w:id="0" w:name="_GoBack"/>
      <w:bookmarkEnd w:id="0"/>
      <w:r w:rsidRPr="00A4227B">
        <w:rPr>
          <w:rFonts w:ascii="Times New Roman" w:hAnsi="Times New Roman" w:cs="Times New Roman"/>
          <w:color w:val="262626"/>
          <w:sz w:val="40"/>
          <w:szCs w:val="40"/>
        </w:rPr>
        <w:t>February 19, 2014</w:t>
      </w:r>
    </w:p>
    <w:p w:rsidR="00A4227B" w:rsidRPr="00A4227B" w:rsidRDefault="00A4227B" w:rsidP="00A4227B">
      <w:pPr>
        <w:autoSpaceDE w:val="0"/>
        <w:autoSpaceDN w:val="0"/>
        <w:adjustRightInd w:val="0"/>
        <w:rPr>
          <w:rFonts w:ascii="Times New Roman" w:hAnsi="Times New Roman" w:cs="Times New Roman"/>
          <w:color w:val="262626"/>
          <w:sz w:val="40"/>
          <w:szCs w:val="40"/>
        </w:rPr>
      </w:pPr>
      <w:r w:rsidRPr="00A4227B">
        <w:rPr>
          <w:rFonts w:ascii="Times New Roman" w:hAnsi="Times New Roman" w:cs="Times New Roman"/>
          <w:b/>
          <w:bCs/>
          <w:color w:val="262626"/>
          <w:sz w:val="40"/>
          <w:szCs w:val="40"/>
        </w:rPr>
        <w:t>Beyond ACOs and Bundled Payments</w:t>
      </w:r>
    </w:p>
    <w:p w:rsidR="00A4227B" w:rsidRPr="00A4227B" w:rsidRDefault="00A4227B" w:rsidP="00A4227B">
      <w:pPr>
        <w:autoSpaceDE w:val="0"/>
        <w:autoSpaceDN w:val="0"/>
        <w:adjustRightInd w:val="0"/>
        <w:rPr>
          <w:rFonts w:ascii="Times New Roman" w:hAnsi="Times New Roman" w:cs="Times New Roman"/>
          <w:color w:val="262626"/>
          <w:sz w:val="40"/>
          <w:szCs w:val="40"/>
        </w:rPr>
      </w:pPr>
      <w:r w:rsidRPr="00A4227B">
        <w:rPr>
          <w:rFonts w:ascii="Times New Roman" w:hAnsi="Times New Roman" w:cs="Times New Roman"/>
          <w:color w:val="262626"/>
          <w:sz w:val="40"/>
          <w:szCs w:val="40"/>
        </w:rPr>
        <w:t>Medicare’s Shift Toward Accountability in Fee-for-Service</w:t>
      </w:r>
    </w:p>
    <w:p w:rsidR="00A4227B" w:rsidRPr="00A4227B" w:rsidRDefault="00F755F4" w:rsidP="00A4227B">
      <w:pPr>
        <w:autoSpaceDE w:val="0"/>
        <w:autoSpaceDN w:val="0"/>
        <w:adjustRightInd w:val="0"/>
        <w:rPr>
          <w:rFonts w:ascii="Times New Roman" w:hAnsi="Times New Roman" w:cs="Times New Roman"/>
          <w:color w:val="262626"/>
          <w:sz w:val="30"/>
          <w:szCs w:val="30"/>
        </w:rPr>
      </w:pPr>
      <w:hyperlink r:id="rId4" w:history="1">
        <w:r w:rsidR="00A4227B" w:rsidRPr="00A4227B">
          <w:rPr>
            <w:rFonts w:ascii="Times New Roman" w:hAnsi="Times New Roman" w:cs="Times New Roman"/>
            <w:color w:val="343434"/>
            <w:sz w:val="30"/>
            <w:szCs w:val="30"/>
          </w:rPr>
          <w:t>Christopher Chen, BA</w:t>
        </w:r>
        <w:r w:rsidR="00A4227B" w:rsidRPr="00A4227B">
          <w:rPr>
            <w:rFonts w:ascii="Times New Roman" w:hAnsi="Times New Roman" w:cs="Times New Roman"/>
            <w:color w:val="343434"/>
            <w:sz w:val="30"/>
            <w:szCs w:val="30"/>
            <w:vertAlign w:val="superscript"/>
          </w:rPr>
          <w:t>1</w:t>
        </w:r>
      </w:hyperlink>
      <w:r w:rsidR="00A4227B" w:rsidRPr="00A4227B">
        <w:rPr>
          <w:rFonts w:ascii="Times New Roman" w:hAnsi="Times New Roman" w:cs="Times New Roman"/>
          <w:color w:val="262626"/>
          <w:sz w:val="30"/>
          <w:szCs w:val="30"/>
        </w:rPr>
        <w:t xml:space="preserve">; </w:t>
      </w:r>
      <w:hyperlink r:id="rId5" w:history="1">
        <w:r w:rsidR="00A4227B" w:rsidRPr="00A4227B">
          <w:rPr>
            <w:rFonts w:ascii="Times New Roman" w:hAnsi="Times New Roman" w:cs="Times New Roman"/>
            <w:color w:val="343434"/>
            <w:sz w:val="30"/>
            <w:szCs w:val="30"/>
          </w:rPr>
          <w:t>D. Clay </w:t>
        </w:r>
        <w:proofErr w:type="spellStart"/>
        <w:r w:rsidR="00A4227B" w:rsidRPr="00A4227B">
          <w:rPr>
            <w:rFonts w:ascii="Times New Roman" w:hAnsi="Times New Roman" w:cs="Times New Roman"/>
            <w:color w:val="343434"/>
            <w:sz w:val="30"/>
            <w:szCs w:val="30"/>
          </w:rPr>
          <w:t>Ackerly</w:t>
        </w:r>
        <w:proofErr w:type="spellEnd"/>
        <w:r w:rsidR="00A4227B" w:rsidRPr="00A4227B">
          <w:rPr>
            <w:rFonts w:ascii="Times New Roman" w:hAnsi="Times New Roman" w:cs="Times New Roman"/>
            <w:color w:val="343434"/>
            <w:sz w:val="30"/>
            <w:szCs w:val="30"/>
          </w:rPr>
          <w:t>, MD, MSc</w:t>
        </w:r>
        <w:r w:rsidR="00A4227B" w:rsidRPr="00A4227B">
          <w:rPr>
            <w:rFonts w:ascii="Times New Roman" w:hAnsi="Times New Roman" w:cs="Times New Roman"/>
            <w:color w:val="343434"/>
            <w:sz w:val="30"/>
            <w:szCs w:val="30"/>
            <w:vertAlign w:val="superscript"/>
          </w:rPr>
          <w:t>2</w:t>
        </w:r>
      </w:hyperlink>
    </w:p>
    <w:p w:rsidR="00A4227B" w:rsidRPr="00A4227B" w:rsidRDefault="00A4227B" w:rsidP="00A4227B">
      <w:pPr>
        <w:autoSpaceDE w:val="0"/>
        <w:autoSpaceDN w:val="0"/>
        <w:adjustRightInd w:val="0"/>
        <w:rPr>
          <w:rFonts w:ascii="Times New Roman" w:hAnsi="Times New Roman" w:cs="Times New Roman"/>
          <w:color w:val="343434"/>
          <w:sz w:val="30"/>
          <w:szCs w:val="30"/>
        </w:rPr>
      </w:pPr>
      <w:r w:rsidRPr="00A4227B">
        <w:rPr>
          <w:rFonts w:ascii="Times New Roman" w:hAnsi="Times New Roman" w:cs="Times New Roman"/>
          <w:color w:val="840D17"/>
          <w:sz w:val="30"/>
          <w:szCs w:val="30"/>
        </w:rPr>
        <w:t>Author AffiliationsArticle Information</w:t>
      </w:r>
    </w:p>
    <w:p w:rsidR="00A4227B" w:rsidRPr="00A4227B" w:rsidRDefault="00A4227B" w:rsidP="00A4227B">
      <w:pPr>
        <w:autoSpaceDE w:val="0"/>
        <w:autoSpaceDN w:val="0"/>
        <w:adjustRightInd w:val="0"/>
        <w:rPr>
          <w:rFonts w:ascii="Times New Roman" w:hAnsi="Times New Roman" w:cs="Times New Roman"/>
          <w:color w:val="262626"/>
          <w:sz w:val="30"/>
          <w:szCs w:val="30"/>
        </w:rPr>
      </w:pPr>
      <w:r w:rsidRPr="00A4227B">
        <w:rPr>
          <w:rFonts w:ascii="Times New Roman" w:hAnsi="Times New Roman" w:cs="Times New Roman"/>
          <w:i/>
          <w:iCs/>
          <w:color w:val="262626"/>
          <w:sz w:val="30"/>
          <w:szCs w:val="30"/>
        </w:rPr>
        <w:t xml:space="preserve">JAMA. </w:t>
      </w:r>
      <w:r w:rsidRPr="00A4227B">
        <w:rPr>
          <w:rFonts w:ascii="Times New Roman" w:hAnsi="Times New Roman" w:cs="Times New Roman"/>
          <w:color w:val="262626"/>
          <w:sz w:val="30"/>
          <w:szCs w:val="30"/>
        </w:rPr>
        <w:t>2014;311(7):673-674. doi:10.1001/jama.2014.11</w:t>
      </w:r>
    </w:p>
    <w:p w:rsidR="00A4227B" w:rsidRPr="00A4227B" w:rsidRDefault="00A4227B" w:rsidP="00A4227B">
      <w:pPr>
        <w:autoSpaceDE w:val="0"/>
        <w:autoSpaceDN w:val="0"/>
        <w:adjustRightInd w:val="0"/>
        <w:rPr>
          <w:rFonts w:ascii="Helvetica" w:hAnsi="Helvetica" w:cs="Helvetica"/>
          <w:color w:val="262626"/>
          <w:sz w:val="30"/>
          <w:szCs w:val="30"/>
        </w:rPr>
      </w:pPr>
    </w:p>
    <w:p w:rsidR="00A4227B" w:rsidRDefault="00A4227B" w:rsidP="00A4227B">
      <w:pPr>
        <w:autoSpaceDE w:val="0"/>
        <w:autoSpaceDN w:val="0"/>
        <w:adjustRightInd w:val="0"/>
        <w:rPr>
          <w:rFonts w:ascii="Helvetica" w:hAnsi="Helvetica" w:cs="Helvetica"/>
          <w:color w:val="262626"/>
          <w:sz w:val="32"/>
          <w:szCs w:val="32"/>
        </w:rPr>
      </w:pP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For all the attention paid to accountable care models, few observers have recognized that Medicare is rolling out the core framework of bundled payments within the hospital fee-for-service payment system. Under its hospital value-based purchasing (HVBP) program, Medicare has established the Medicare Spending Per Beneficiary (MSPB) metric, defined as the average Medicare Part A and Part B spending per patient (</w:t>
      </w:r>
      <w:proofErr w:type="spellStart"/>
      <w:r w:rsidRPr="00A4227B">
        <w:rPr>
          <w:rFonts w:ascii="Times New Roman" w:hAnsi="Times New Roman" w:cs="Times New Roman"/>
          <w:color w:val="262626"/>
        </w:rPr>
        <w:t>eg</w:t>
      </w:r>
      <w:proofErr w:type="spellEnd"/>
      <w:r w:rsidRPr="00A4227B">
        <w:rPr>
          <w:rFonts w:ascii="Times New Roman" w:hAnsi="Times New Roman" w:cs="Times New Roman"/>
          <w:color w:val="262626"/>
        </w:rPr>
        <w:t>, all traditional Medicare fee-for-service spending outside of prescription drug coverage) from 3 days prior to admission to 30 days after discharge. Hospital value-based purchasing adjusts each hospital’s fee-for-service Medicare reimbursement based on various performance benchmarks, such as MSPB; more than 1400 hospitals will receive reductions in their Medicare payment rates this year.</w:t>
      </w:r>
      <w:r w:rsidRPr="00A4227B">
        <w:rPr>
          <w:rFonts w:ascii="Times New Roman" w:hAnsi="Times New Roman" w:cs="Times New Roman"/>
          <w:color w:val="840D17"/>
          <w:vertAlign w:val="superscript"/>
        </w:rPr>
        <w:t>1</w:t>
      </w:r>
      <w:r w:rsidRPr="00A4227B">
        <w:rPr>
          <w:rFonts w:ascii="Times New Roman" w:hAnsi="Times New Roman" w:cs="Times New Roman"/>
          <w:color w:val="262626"/>
        </w:rPr>
        <w:t xml:space="preserve"> Although Medicare has created a number of pay-for-performance programs over the past decade, MSPB represents the first pay-for-efficiency measure embedded within the fee-for-service system to penalize or reward hospitals not just for readmission rates or efficiency within an inpatient stay but for the value of care delivered across the entire continuum.</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As inpatient costs increased in the early 1980s, Medicare encouraged hospitals to manage costs (namely via length-of-stay) by moving from cost-based payment to a prospective payment system in 1984. Hospitals were no longer paid each day a patient was hospitalized but rather paid a fixed amount for each admission. As a result, by 1998 the average hospital length-of-stay had declined by almost half. But this decrease in inpatient days was associated with a 4-fold increase in bed days at skilled nursing facilities and a 6-fold increase in home health visits, suggesting that costs had been shifted by substituting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services for inpatient care as patients recovered.</w:t>
      </w:r>
      <w:r w:rsidRPr="00A4227B">
        <w:rPr>
          <w:rFonts w:ascii="Times New Roman" w:hAnsi="Times New Roman" w:cs="Times New Roman"/>
          <w:color w:val="840D17"/>
          <w:vertAlign w:val="superscript"/>
        </w:rPr>
        <w:t>2</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In response, Medicare implemented payment reforms for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organizations (namely, home health agencies, skilled nursing facilities, inpatient rehabilitation facilities, and long-term care hospitals) to try to stabilize the increase in use, including introducing prospective payment systems similar to the inpatient sector. Yet Medicare spending on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has continued to increase, doubling over the last decade and increasing twice as fast as physician and hospital spending without clear evidence of improved outcomes.</w:t>
      </w:r>
      <w:r w:rsidRPr="00A4227B">
        <w:rPr>
          <w:rFonts w:ascii="Times New Roman" w:hAnsi="Times New Roman" w:cs="Times New Roman"/>
          <w:color w:val="840D17"/>
          <w:vertAlign w:val="superscript"/>
        </w:rPr>
        <w:t>3</w:t>
      </w:r>
      <w:r w:rsidRPr="00A4227B">
        <w:rPr>
          <w:rFonts w:ascii="Times New Roman" w:hAnsi="Times New Roman" w:cs="Times New Roman"/>
          <w:color w:val="262626"/>
        </w:rPr>
        <w:t xml:space="preserve"> Eliminating geographic variation in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would reduce total Medicare variation by 73%, suggesting that a significant portion of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spending may be unnecessary.</w:t>
      </w:r>
      <w:r w:rsidRPr="00A4227B">
        <w:rPr>
          <w:rFonts w:ascii="Times New Roman" w:hAnsi="Times New Roman" w:cs="Times New Roman"/>
          <w:color w:val="840D17"/>
          <w:vertAlign w:val="superscript"/>
        </w:rPr>
        <w:t>4</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Accountable care models, by rewarding health systems for making measured use decisions across the care spectrum including across acute and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facilities, represent a promising approach for optimizing acute and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spending. But the significant majority of health care dollars still flow through fee-for-service; only about 10% of Medicare </w:t>
      </w:r>
      <w:r w:rsidRPr="00A4227B">
        <w:rPr>
          <w:rFonts w:ascii="Times New Roman" w:hAnsi="Times New Roman" w:cs="Times New Roman"/>
          <w:color w:val="262626"/>
        </w:rPr>
        <w:lastRenderedPageBreak/>
        <w:t>beneficiaries receive care through accountable care organizations (ACOs), bundled payments are still limited to demonstration projects, and accountable models are built upon, and do not replace, fee-for-service payment structures. By defining care bundles within traditional Medicare, MSPB brings the concept of accountability to full scale.</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Most of the opportunity for MSPB efficiency gains will be in the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period, which accounts for about half of MSPB episode spending, because the majority of hospital costs are fixed under the inpatient prospective payment system. To improve their MSPB performance, hospitals must thus reevaluate their patterns of discharge timing, destination, and execution. Discharge timing and destination are interrelated; although shorter hospital stays reduce costs under the inpatient prospective payment system, shorter stays can result in longer and higher-intensity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that may increase overall MSPB spending. The shorter inpatient lengths-of-stay achieved by hospitalist physicians compared with primary care physicians results in an estimated $1.1 billion in additional Medicare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spending annually.</w:t>
      </w:r>
      <w:r w:rsidRPr="00A4227B">
        <w:rPr>
          <w:rFonts w:ascii="Times New Roman" w:hAnsi="Times New Roman" w:cs="Times New Roman"/>
          <w:color w:val="840D17"/>
          <w:vertAlign w:val="superscript"/>
        </w:rPr>
        <w:t>5</w:t>
      </w:r>
      <w:r w:rsidRPr="00A4227B">
        <w:rPr>
          <w:rFonts w:ascii="Times New Roman" w:hAnsi="Times New Roman" w:cs="Times New Roman"/>
          <w:color w:val="262626"/>
        </w:rPr>
        <w:t xml:space="preserve"> Shorter lengths-of-stay in some cases could also increase the likelihood of readmissions, which will now have a 2-fold effect on hospital performance on Medicare benchmarks under the readmissions reduction program and MSPB.</w:t>
      </w:r>
      <w:r w:rsidRPr="00A4227B">
        <w:rPr>
          <w:rFonts w:ascii="Times New Roman" w:hAnsi="Times New Roman" w:cs="Times New Roman"/>
          <w:color w:val="840D17"/>
          <w:vertAlign w:val="superscript"/>
        </w:rPr>
        <w:t>6</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The optimal discharge pathway depends on the unique circumstances of each local health delivery system, such as the needs of their particular patient population and the care quality at local skilled nursing facilities. Hospitals must start by studying the cost, use, and outcomes of their own patients across acute and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as well as the quality and efficiency of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services in their referral region. Skilled nursing facilities differ significantly in their lengths-of-stay, readmission rates, and capacity to care for complex patients. Certain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health care entities and clinicians may also have expertise in particular diagnoses and patient needs, whether medical, functional, or psychosocial. Understanding such factors will allow hospitals to make both efficiency gains and the most clinically appropriate disposition decisions for their patients. Hospitals can provide patients with quality and efficiency data when they are picking their desired facility, encouraging competition on care quality.</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Clinicians should also become more thoughtful about selecting the most appropriate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setting (home health, skilled nursing, inpatient rehabilitation, or long-term care) when discharging patients. Under the readmissions reduction program, risk-adverse physicians may be tempted to err on the side of discharging patients to more intensive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than necessary in an effort to reduce readmissions. But unnecessary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can delay a patient’s return to independence and is costly; although the average home health episode is $2700, the average long-term care hospital stay costs Medicare $38 600.</w:t>
      </w:r>
      <w:r w:rsidRPr="00A4227B">
        <w:rPr>
          <w:rFonts w:ascii="Times New Roman" w:hAnsi="Times New Roman" w:cs="Times New Roman"/>
          <w:color w:val="840D17"/>
          <w:vertAlign w:val="superscript"/>
        </w:rPr>
        <w:t>7</w:t>
      </w:r>
      <w:r w:rsidRPr="00A4227B">
        <w:rPr>
          <w:rFonts w:ascii="Times New Roman" w:hAnsi="Times New Roman" w:cs="Times New Roman"/>
          <w:color w:val="262626"/>
        </w:rPr>
        <w:t xml:space="preserve"> Consistent transfer of patients to more cost-effective and clinically appropriate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services could result in significant hospital MSPB gains and save Medicare up to $34.7 billion over 10 years.</w:t>
      </w:r>
      <w:r w:rsidRPr="00A4227B">
        <w:rPr>
          <w:rFonts w:ascii="Times New Roman" w:hAnsi="Times New Roman" w:cs="Times New Roman"/>
          <w:color w:val="840D17"/>
          <w:vertAlign w:val="superscript"/>
        </w:rPr>
        <w:t>8</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The success of managed care plans in reducing their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spending reflects the size of the savings opportunity in the fee-for-service sector. Kaiser Permanente is reported to have 3-fold fewer skilled nursing days than traditional Medicare, with better outcomes.</w:t>
      </w:r>
      <w:r w:rsidRPr="00A4227B">
        <w:rPr>
          <w:rFonts w:ascii="Times New Roman" w:hAnsi="Times New Roman" w:cs="Times New Roman"/>
          <w:color w:val="840D17"/>
          <w:vertAlign w:val="superscript"/>
        </w:rPr>
        <w:t>9</w:t>
      </w:r>
      <w:r w:rsidRPr="00A4227B">
        <w:rPr>
          <w:rFonts w:ascii="Times New Roman" w:hAnsi="Times New Roman" w:cs="Times New Roman"/>
          <w:color w:val="262626"/>
        </w:rPr>
        <w:t xml:space="preserve"> Local and national Medicare Advantage plans have achieved 30% to 40% lower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use and 20% to 50% lower readmission rates than in fee-for-service Medicare.</w:t>
      </w:r>
      <w:r w:rsidRPr="00A4227B">
        <w:rPr>
          <w:rFonts w:ascii="Times New Roman" w:hAnsi="Times New Roman" w:cs="Times New Roman"/>
          <w:color w:val="840D17"/>
          <w:vertAlign w:val="superscript"/>
        </w:rPr>
        <w:t>10</w:t>
      </w:r>
      <w:r w:rsidRPr="00A4227B">
        <w:rPr>
          <w:rFonts w:ascii="Times New Roman" w:hAnsi="Times New Roman" w:cs="Times New Roman"/>
          <w:color w:val="262626"/>
        </w:rPr>
        <w:t xml:space="preserve"> These gains have come through a variety of levers: more robust analytical tools to make evidence-based decisions about discharge timing and destination, innovative care transition and home health interventions, and engagement with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service providers to measure and improve their value.</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The remarkable difference in </w:t>
      </w:r>
      <w:proofErr w:type="spellStart"/>
      <w:r w:rsidRPr="00A4227B">
        <w:rPr>
          <w:rFonts w:ascii="Times New Roman" w:hAnsi="Times New Roman" w:cs="Times New Roman"/>
          <w:color w:val="262626"/>
        </w:rPr>
        <w:t>postacute</w:t>
      </w:r>
      <w:proofErr w:type="spellEnd"/>
      <w:r w:rsidRPr="00A4227B">
        <w:rPr>
          <w:rFonts w:ascii="Times New Roman" w:hAnsi="Times New Roman" w:cs="Times New Roman"/>
          <w:color w:val="262626"/>
        </w:rPr>
        <w:t xml:space="preserve"> care use between fee-for-service and managed care suggests that even modest investments have the potential to yield significant savings. However, </w:t>
      </w:r>
      <w:r w:rsidRPr="00A4227B">
        <w:rPr>
          <w:rFonts w:ascii="Times New Roman" w:hAnsi="Times New Roman" w:cs="Times New Roman"/>
          <w:color w:val="262626"/>
        </w:rPr>
        <w:lastRenderedPageBreak/>
        <w:t>Medicare’s previous pay-for-performance initiatives have produced inconsistent and transient outcome improvements, causing many observers to be skeptical about the effect of HVBP on Medicare spending and care quality. Designing appropriate performance metrics is difficult, and a more rigorous assessment of the measure’s risk-adjustment is needed to ensure that hospitals that treat higher-risk populations are not unfairly disadvantaged. In addition, the HVBP reimbursement adjustment may not be large enough to significantly alter hospital behavior; this year’s payment changes will be less than 0.20% of total fee-for-service reimbursement for almost half of hospitals. The maximum penalty will increase each year by 0.25%, from 1% in 2013 to 2% by 2017. By 2015, MSPB will account for 20% of each hospital’s value-based purchasing score.</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Even though the initial penalties of the readmissions reduction program were similarly modest, they nevertheless spurred outsized attention and investments from hospital leadership who recognized that the program goals were aligned with patient safety and that penalties would likely increase over time. The MSPB program may warrant a similarly robust response; in the future, Medicare will likely tie more and more dollars to clinical efficiency and away from volume through expanding both value-based purchasing and accountable care models. The HVBP program will clearly not bend the curve of health care costs alone, but MSPB represents the right conceptual step forward for creating value across the care spectrum throughout fee-for-service Medicare.</w:t>
      </w:r>
    </w:p>
    <w:p w:rsidR="00A4227B" w:rsidRPr="00A4227B" w:rsidRDefault="00A4227B" w:rsidP="00A4227B">
      <w:pPr>
        <w:autoSpaceDE w:val="0"/>
        <w:autoSpaceDN w:val="0"/>
        <w:adjustRightInd w:val="0"/>
        <w:rPr>
          <w:rFonts w:ascii="Times New Roman" w:hAnsi="Times New Roman" w:cs="Times New Roman"/>
          <w:color w:val="262626"/>
        </w:rPr>
      </w:pPr>
    </w:p>
    <w:p w:rsidR="00A4227B" w:rsidRPr="00A4227B" w:rsidRDefault="00A4227B" w:rsidP="00A4227B">
      <w:pPr>
        <w:autoSpaceDE w:val="0"/>
        <w:autoSpaceDN w:val="0"/>
        <w:adjustRightInd w:val="0"/>
        <w:rPr>
          <w:rFonts w:ascii="Times New Roman" w:hAnsi="Times New Roman" w:cs="Times New Roman"/>
          <w:color w:val="840D17"/>
        </w:rPr>
      </w:pPr>
      <w:r w:rsidRPr="00A4227B">
        <w:rPr>
          <w:rFonts w:ascii="Times New Roman" w:hAnsi="Times New Roman" w:cs="Times New Roman"/>
          <w:color w:val="840D17"/>
        </w:rPr>
        <w:t>Back to top</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CB0029"/>
        </w:rPr>
        <w:t>Article Information</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b/>
          <w:bCs/>
          <w:color w:val="262626"/>
        </w:rPr>
        <w:t>Corresponding Author:</w:t>
      </w:r>
      <w:r w:rsidRPr="00A4227B">
        <w:rPr>
          <w:rFonts w:ascii="Times New Roman" w:hAnsi="Times New Roman" w:cs="Times New Roman"/>
          <w:color w:val="262626"/>
        </w:rPr>
        <w:t xml:space="preserve"> D. Clay </w:t>
      </w:r>
      <w:proofErr w:type="spellStart"/>
      <w:r w:rsidRPr="00A4227B">
        <w:rPr>
          <w:rFonts w:ascii="Times New Roman" w:hAnsi="Times New Roman" w:cs="Times New Roman"/>
          <w:color w:val="262626"/>
        </w:rPr>
        <w:t>Ackerly</w:t>
      </w:r>
      <w:proofErr w:type="spellEnd"/>
      <w:r w:rsidRPr="00A4227B">
        <w:rPr>
          <w:rFonts w:ascii="Times New Roman" w:hAnsi="Times New Roman" w:cs="Times New Roman"/>
          <w:color w:val="262626"/>
        </w:rPr>
        <w:t xml:space="preserve">, MD, MSc, </w:t>
      </w:r>
      <w:proofErr w:type="spellStart"/>
      <w:r w:rsidRPr="00A4227B">
        <w:rPr>
          <w:rFonts w:ascii="Times New Roman" w:hAnsi="Times New Roman" w:cs="Times New Roman"/>
          <w:color w:val="262626"/>
        </w:rPr>
        <w:t>Nonacute</w:t>
      </w:r>
      <w:proofErr w:type="spellEnd"/>
      <w:r w:rsidRPr="00A4227B">
        <w:rPr>
          <w:rFonts w:ascii="Times New Roman" w:hAnsi="Times New Roman" w:cs="Times New Roman"/>
          <w:color w:val="262626"/>
        </w:rPr>
        <w:t xml:space="preserve"> Services, Massachusetts General Hospital, 55 Fruit St, Boston, MA 02114 (</w:t>
      </w:r>
      <w:hyperlink r:id="rId6" w:history="1">
        <w:r w:rsidRPr="00A4227B">
          <w:rPr>
            <w:rFonts w:ascii="Times New Roman" w:hAnsi="Times New Roman" w:cs="Times New Roman"/>
            <w:color w:val="840D17"/>
          </w:rPr>
          <w:t>dackerly@partners.org</w:t>
        </w:r>
      </w:hyperlink>
      <w:r w:rsidRPr="00A4227B">
        <w:rPr>
          <w:rFonts w:ascii="Times New Roman" w:hAnsi="Times New Roman" w:cs="Times New Roman"/>
          <w:color w:val="262626"/>
        </w:rPr>
        <w:t>).</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b/>
          <w:bCs/>
          <w:color w:val="262626"/>
        </w:rPr>
        <w:t>Conflict of Interest Disclosures:</w:t>
      </w:r>
      <w:r w:rsidRPr="00A4227B">
        <w:rPr>
          <w:rFonts w:ascii="Times New Roman" w:hAnsi="Times New Roman" w:cs="Times New Roman"/>
          <w:color w:val="262626"/>
        </w:rPr>
        <w:t xml:space="preserve"> Both authors have completed and submitted the ICMJE Form for Disclosure of Potential Conflicts of Interest. </w:t>
      </w:r>
      <w:proofErr w:type="spellStart"/>
      <w:r w:rsidRPr="00A4227B">
        <w:rPr>
          <w:rFonts w:ascii="Times New Roman" w:hAnsi="Times New Roman" w:cs="Times New Roman"/>
          <w:color w:val="262626"/>
        </w:rPr>
        <w:t>DrAckerly</w:t>
      </w:r>
      <w:proofErr w:type="spellEnd"/>
      <w:r w:rsidRPr="00A4227B">
        <w:rPr>
          <w:rFonts w:ascii="Times New Roman" w:hAnsi="Times New Roman" w:cs="Times New Roman"/>
          <w:color w:val="262626"/>
        </w:rPr>
        <w:t xml:space="preserve"> reports being the associate medical director for Population Health and Continuing Care at Partners HealthCare and serving on the advisory board of </w:t>
      </w:r>
      <w:proofErr w:type="spellStart"/>
      <w:r w:rsidRPr="00A4227B">
        <w:rPr>
          <w:rFonts w:ascii="Times New Roman" w:hAnsi="Times New Roman" w:cs="Times New Roman"/>
          <w:color w:val="262626"/>
        </w:rPr>
        <w:t>CarePort</w:t>
      </w:r>
      <w:proofErr w:type="spellEnd"/>
      <w:r w:rsidRPr="00A4227B">
        <w:rPr>
          <w:rFonts w:ascii="Times New Roman" w:hAnsi="Times New Roman" w:cs="Times New Roman"/>
          <w:color w:val="262626"/>
        </w:rPr>
        <w:t xml:space="preserve"> Health. No other disclosures were reported.</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b/>
          <w:bCs/>
          <w:color w:val="262626"/>
        </w:rPr>
        <w:t>Disclaimer:</w:t>
      </w:r>
      <w:r w:rsidRPr="00A4227B">
        <w:rPr>
          <w:rFonts w:ascii="Times New Roman" w:hAnsi="Times New Roman" w:cs="Times New Roman"/>
          <w:color w:val="262626"/>
        </w:rPr>
        <w:t xml:space="preserve"> The findings and views in this article do not reflect the official policy of </w:t>
      </w:r>
      <w:proofErr w:type="spellStart"/>
      <w:r w:rsidRPr="00A4227B">
        <w:rPr>
          <w:rFonts w:ascii="Times New Roman" w:hAnsi="Times New Roman" w:cs="Times New Roman"/>
          <w:color w:val="262626"/>
        </w:rPr>
        <w:t>CarePort</w:t>
      </w:r>
      <w:proofErr w:type="spellEnd"/>
      <w:r w:rsidRPr="00A4227B">
        <w:rPr>
          <w:rFonts w:ascii="Times New Roman" w:hAnsi="Times New Roman" w:cs="Times New Roman"/>
          <w:color w:val="262626"/>
        </w:rPr>
        <w:t xml:space="preserve"> Health, Partners HealthCare, or Massachusetts General Hospital.</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b/>
          <w:bCs/>
          <w:color w:val="262626"/>
        </w:rPr>
        <w:t>Additional Contributions:</w:t>
      </w:r>
      <w:r w:rsidRPr="00A4227B">
        <w:rPr>
          <w:rFonts w:ascii="Times New Roman" w:hAnsi="Times New Roman" w:cs="Times New Roman"/>
          <w:color w:val="262626"/>
        </w:rPr>
        <w:t xml:space="preserve"> We thank Timothy Ferris, MD, MPH, and Keely Macmillan, MSPH (both from Partners HealthCare), for their input and guidance.</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CB0029"/>
        </w:rPr>
        <w:t>References</w:t>
      </w:r>
    </w:p>
    <w:p w:rsidR="00A4227B" w:rsidRPr="00A4227B" w:rsidRDefault="00A4227B" w:rsidP="00A4227B">
      <w:pPr>
        <w:autoSpaceDE w:val="0"/>
        <w:autoSpaceDN w:val="0"/>
        <w:adjustRightInd w:val="0"/>
        <w:rPr>
          <w:rFonts w:ascii="Times New Roman" w:hAnsi="Times New Roman" w:cs="Times New Roman"/>
          <w:b/>
          <w:bCs/>
        </w:rPr>
      </w:pPr>
      <w:r w:rsidRPr="00A4227B">
        <w:rPr>
          <w:rFonts w:ascii="Times New Roman" w:hAnsi="Times New Roman" w:cs="Times New Roman"/>
          <w:b/>
          <w:bCs/>
          <w:color w:val="262626"/>
        </w:rPr>
        <w:t>1.</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Rau J. Nearly 1500 hospitals penalized under Medicare program rating quality. </w:t>
      </w:r>
      <w:hyperlink r:id="rId7" w:history="1">
        <w:r w:rsidRPr="00A4227B">
          <w:rPr>
            <w:rFonts w:ascii="Times New Roman" w:hAnsi="Times New Roman" w:cs="Times New Roman"/>
            <w:i/>
            <w:iCs/>
            <w:color w:val="840D17"/>
          </w:rPr>
          <w:t>http://www.kaiserhealthnews.org/stories/2013/november/14/value-based-purchasing-medicare.aspx</w:t>
        </w:r>
      </w:hyperlink>
      <w:r w:rsidRPr="00A4227B">
        <w:rPr>
          <w:rFonts w:ascii="Times New Roman" w:hAnsi="Times New Roman" w:cs="Times New Roman"/>
          <w:color w:val="262626"/>
        </w:rPr>
        <w:t>. Accessed November 16, 2013.</w:t>
      </w:r>
    </w:p>
    <w:p w:rsidR="00A4227B" w:rsidRPr="00A4227B" w:rsidRDefault="00A4227B" w:rsidP="00A4227B">
      <w:pPr>
        <w:autoSpaceDE w:val="0"/>
        <w:autoSpaceDN w:val="0"/>
        <w:adjustRightInd w:val="0"/>
        <w:rPr>
          <w:rFonts w:ascii="Times New Roman" w:hAnsi="Times New Roman" w:cs="Times New Roman"/>
          <w:b/>
          <w:bCs/>
        </w:rPr>
      </w:pPr>
      <w:r w:rsidRPr="00A4227B">
        <w:rPr>
          <w:rFonts w:ascii="Times New Roman" w:hAnsi="Times New Roman" w:cs="Times New Roman"/>
          <w:b/>
          <w:bCs/>
          <w:color w:val="262626"/>
        </w:rPr>
        <w:t>2.</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Health Care Financing Administration. </w:t>
      </w:r>
      <w:r w:rsidRPr="00A4227B">
        <w:rPr>
          <w:rFonts w:ascii="Times New Roman" w:hAnsi="Times New Roman" w:cs="Times New Roman"/>
          <w:i/>
          <w:iCs/>
          <w:color w:val="262626"/>
        </w:rPr>
        <w:t> Health Care Financing Review: Medicare and Medicaid Statistical Supplement.</w:t>
      </w:r>
      <w:r w:rsidRPr="00A4227B">
        <w:rPr>
          <w:rFonts w:ascii="Times New Roman" w:hAnsi="Times New Roman" w:cs="Times New Roman"/>
          <w:color w:val="262626"/>
        </w:rPr>
        <w:t xml:space="preserve"> Washington, DC: US Dept of Health and Human Services; 1999.</w:t>
      </w:r>
    </w:p>
    <w:p w:rsidR="00A4227B" w:rsidRPr="00A4227B" w:rsidRDefault="00A4227B" w:rsidP="00A4227B">
      <w:pPr>
        <w:autoSpaceDE w:val="0"/>
        <w:autoSpaceDN w:val="0"/>
        <w:adjustRightInd w:val="0"/>
        <w:rPr>
          <w:rFonts w:ascii="Times New Roman" w:hAnsi="Times New Roman" w:cs="Times New Roman"/>
          <w:b/>
          <w:bCs/>
        </w:rPr>
      </w:pPr>
      <w:r w:rsidRPr="00A4227B">
        <w:rPr>
          <w:rFonts w:ascii="Times New Roman" w:hAnsi="Times New Roman" w:cs="Times New Roman"/>
          <w:b/>
          <w:bCs/>
          <w:color w:val="262626"/>
        </w:rPr>
        <w:t>3.</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Miller M. Medicare post-acute care reforms. </w:t>
      </w:r>
      <w:hyperlink r:id="rId8" w:history="1">
        <w:r w:rsidRPr="00A4227B">
          <w:rPr>
            <w:rFonts w:ascii="Times New Roman" w:hAnsi="Times New Roman" w:cs="Times New Roman"/>
            <w:i/>
            <w:iCs/>
            <w:color w:val="840D17"/>
          </w:rPr>
          <w:t>http://waysandmeans.house.gov/uploadedfiles/miller_testimony_final_06142013.pdf</w:t>
        </w:r>
      </w:hyperlink>
      <w:r w:rsidRPr="00A4227B">
        <w:rPr>
          <w:rFonts w:ascii="Times New Roman" w:hAnsi="Times New Roman" w:cs="Times New Roman"/>
          <w:color w:val="262626"/>
        </w:rPr>
        <w:t>. Accessed November 10, 2013.</w:t>
      </w:r>
    </w:p>
    <w:p w:rsidR="00A4227B" w:rsidRPr="00A4227B" w:rsidRDefault="00A4227B" w:rsidP="00A4227B">
      <w:pPr>
        <w:autoSpaceDE w:val="0"/>
        <w:autoSpaceDN w:val="0"/>
        <w:adjustRightInd w:val="0"/>
        <w:rPr>
          <w:rFonts w:ascii="Times New Roman" w:hAnsi="Times New Roman" w:cs="Times New Roman"/>
          <w:b/>
          <w:bCs/>
        </w:rPr>
      </w:pPr>
      <w:r w:rsidRPr="00A4227B">
        <w:rPr>
          <w:rFonts w:ascii="Times New Roman" w:hAnsi="Times New Roman" w:cs="Times New Roman"/>
          <w:b/>
          <w:bCs/>
          <w:color w:val="262626"/>
        </w:rPr>
        <w:t>4.</w:t>
      </w:r>
    </w:p>
    <w:p w:rsidR="00A4227B" w:rsidRPr="00A4227B" w:rsidRDefault="00A4227B" w:rsidP="00A4227B">
      <w:pPr>
        <w:autoSpaceDE w:val="0"/>
        <w:autoSpaceDN w:val="0"/>
        <w:adjustRightInd w:val="0"/>
        <w:rPr>
          <w:rFonts w:ascii="Times New Roman" w:hAnsi="Times New Roman" w:cs="Times New Roman"/>
          <w:color w:val="262626"/>
        </w:rPr>
      </w:pPr>
      <w:proofErr w:type="gramStart"/>
      <w:r w:rsidRPr="00A4227B">
        <w:rPr>
          <w:rFonts w:ascii="Times New Roman" w:hAnsi="Times New Roman" w:cs="Times New Roman"/>
          <w:color w:val="262626"/>
        </w:rPr>
        <w:lastRenderedPageBreak/>
        <w:t>Newhouse  JP</w:t>
      </w:r>
      <w:proofErr w:type="gramEnd"/>
      <w:r w:rsidRPr="00A4227B">
        <w:rPr>
          <w:rFonts w:ascii="Times New Roman" w:hAnsi="Times New Roman" w:cs="Times New Roman"/>
          <w:color w:val="262626"/>
        </w:rPr>
        <w:t>, Garber  AM.  Geographic variation in health care spending in the United States: insights from an Institute of Medicine report. </w:t>
      </w:r>
      <w:r w:rsidRPr="00A4227B">
        <w:rPr>
          <w:rFonts w:ascii="Times New Roman" w:hAnsi="Times New Roman" w:cs="Times New Roman"/>
          <w:i/>
          <w:iCs/>
          <w:color w:val="262626"/>
        </w:rPr>
        <w:t> JAMA</w:t>
      </w:r>
      <w:r w:rsidRPr="00A4227B">
        <w:rPr>
          <w:rFonts w:ascii="Times New Roman" w:hAnsi="Times New Roman" w:cs="Times New Roman"/>
          <w:color w:val="262626"/>
        </w:rPr>
        <w:t>. 2013;310(12):1227-1228.</w:t>
      </w:r>
      <w:hyperlink r:id="rId9" w:history="1">
        <w:r w:rsidRPr="00A4227B">
          <w:rPr>
            <w:rFonts w:ascii="Times New Roman" w:hAnsi="Times New Roman" w:cs="Times New Roman"/>
            <w:color w:val="840D17"/>
          </w:rPr>
          <w:t>PubMed</w:t>
        </w:r>
      </w:hyperlink>
      <w:hyperlink r:id="rId10" w:history="1">
        <w:r w:rsidRPr="00A4227B">
          <w:rPr>
            <w:rFonts w:ascii="Times New Roman" w:hAnsi="Times New Roman" w:cs="Times New Roman"/>
            <w:color w:val="840D17"/>
          </w:rPr>
          <w:t xml:space="preserve">Google </w:t>
        </w:r>
        <w:proofErr w:type="spellStart"/>
        <w:r w:rsidRPr="00A4227B">
          <w:rPr>
            <w:rFonts w:ascii="Times New Roman" w:hAnsi="Times New Roman" w:cs="Times New Roman"/>
            <w:color w:val="840D17"/>
          </w:rPr>
          <w:t>Scholar</w:t>
        </w:r>
      </w:hyperlink>
      <w:hyperlink r:id="rId11" w:history="1">
        <w:r w:rsidRPr="00A4227B">
          <w:rPr>
            <w:rFonts w:ascii="Times New Roman" w:hAnsi="Times New Roman" w:cs="Times New Roman"/>
            <w:color w:val="840D17"/>
          </w:rPr>
          <w:t>Crossref</w:t>
        </w:r>
        <w:proofErr w:type="spellEnd"/>
      </w:hyperlink>
      <w:r w:rsidRPr="00A4227B">
        <w:rPr>
          <w:rFonts w:ascii="Times New Roman" w:hAnsi="Times New Roman" w:cs="Times New Roman"/>
          <w:noProof/>
          <w:color w:val="840D17"/>
        </w:rPr>
        <w:drawing>
          <wp:inline distT="0" distB="0" distL="0" distR="0">
            <wp:extent cx="1601470" cy="319405"/>
            <wp:effectExtent l="0" t="0" r="0" b="0"/>
            <wp:docPr id="3"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1470" cy="319405"/>
                    </a:xfrm>
                    <a:prstGeom prst="rect">
                      <a:avLst/>
                    </a:prstGeom>
                    <a:noFill/>
                    <a:ln>
                      <a:noFill/>
                    </a:ln>
                  </pic:spPr>
                </pic:pic>
              </a:graphicData>
            </a:graphic>
          </wp:inline>
        </w:drawing>
      </w:r>
    </w:p>
    <w:p w:rsidR="00A4227B" w:rsidRPr="00A4227B" w:rsidRDefault="00A4227B" w:rsidP="00A4227B">
      <w:pPr>
        <w:autoSpaceDE w:val="0"/>
        <w:autoSpaceDN w:val="0"/>
        <w:adjustRightInd w:val="0"/>
        <w:rPr>
          <w:rFonts w:ascii="Times New Roman" w:hAnsi="Times New Roman" w:cs="Times New Roman"/>
          <w:b/>
          <w:bCs/>
        </w:rPr>
      </w:pPr>
      <w:r w:rsidRPr="00A4227B">
        <w:rPr>
          <w:rFonts w:ascii="Times New Roman" w:hAnsi="Times New Roman" w:cs="Times New Roman"/>
          <w:b/>
          <w:bCs/>
          <w:color w:val="262626"/>
        </w:rPr>
        <w:t>5.</w:t>
      </w:r>
    </w:p>
    <w:p w:rsidR="00A4227B" w:rsidRPr="00A4227B" w:rsidRDefault="00A4227B" w:rsidP="00A4227B">
      <w:pPr>
        <w:autoSpaceDE w:val="0"/>
        <w:autoSpaceDN w:val="0"/>
        <w:adjustRightInd w:val="0"/>
        <w:rPr>
          <w:rFonts w:ascii="Times New Roman" w:hAnsi="Times New Roman" w:cs="Times New Roman"/>
          <w:color w:val="262626"/>
        </w:rPr>
      </w:pPr>
      <w:proofErr w:type="spellStart"/>
      <w:proofErr w:type="gramStart"/>
      <w:r w:rsidRPr="00A4227B">
        <w:rPr>
          <w:rFonts w:ascii="Times New Roman" w:hAnsi="Times New Roman" w:cs="Times New Roman"/>
          <w:color w:val="262626"/>
        </w:rPr>
        <w:t>Kuo</w:t>
      </w:r>
      <w:proofErr w:type="spellEnd"/>
      <w:r w:rsidRPr="00A4227B">
        <w:rPr>
          <w:rFonts w:ascii="Times New Roman" w:hAnsi="Times New Roman" w:cs="Times New Roman"/>
          <w:color w:val="262626"/>
        </w:rPr>
        <w:t xml:space="preserve">  Y</w:t>
      </w:r>
      <w:proofErr w:type="gramEnd"/>
      <w:r w:rsidRPr="00A4227B">
        <w:rPr>
          <w:rFonts w:ascii="Times New Roman" w:hAnsi="Times New Roman" w:cs="Times New Roman"/>
          <w:color w:val="262626"/>
        </w:rPr>
        <w:t>-F, Goodwin  JS.  Association of hospitalist care with medical utilization after discharge: evidence of cost shift from a cohort study. </w:t>
      </w:r>
      <w:r w:rsidRPr="00A4227B">
        <w:rPr>
          <w:rFonts w:ascii="Times New Roman" w:hAnsi="Times New Roman" w:cs="Times New Roman"/>
          <w:i/>
          <w:iCs/>
          <w:color w:val="262626"/>
        </w:rPr>
        <w:t> Ann Intern Med</w:t>
      </w:r>
      <w:r w:rsidRPr="00A4227B">
        <w:rPr>
          <w:rFonts w:ascii="Times New Roman" w:hAnsi="Times New Roman" w:cs="Times New Roman"/>
          <w:color w:val="262626"/>
        </w:rPr>
        <w:t>. 2011;155(3):152-159.</w:t>
      </w:r>
      <w:hyperlink r:id="rId14" w:history="1">
        <w:r w:rsidRPr="00A4227B">
          <w:rPr>
            <w:rFonts w:ascii="Times New Roman" w:hAnsi="Times New Roman" w:cs="Times New Roman"/>
            <w:color w:val="840D17"/>
          </w:rPr>
          <w:t>PubMed</w:t>
        </w:r>
      </w:hyperlink>
      <w:hyperlink r:id="rId15" w:history="1">
        <w:r w:rsidRPr="00A4227B">
          <w:rPr>
            <w:rFonts w:ascii="Times New Roman" w:hAnsi="Times New Roman" w:cs="Times New Roman"/>
            <w:color w:val="840D17"/>
          </w:rPr>
          <w:t xml:space="preserve">Google </w:t>
        </w:r>
        <w:proofErr w:type="spellStart"/>
        <w:r w:rsidRPr="00A4227B">
          <w:rPr>
            <w:rFonts w:ascii="Times New Roman" w:hAnsi="Times New Roman" w:cs="Times New Roman"/>
            <w:color w:val="840D17"/>
          </w:rPr>
          <w:t>Scholar</w:t>
        </w:r>
      </w:hyperlink>
      <w:hyperlink r:id="rId16" w:history="1">
        <w:r w:rsidRPr="00A4227B">
          <w:rPr>
            <w:rFonts w:ascii="Times New Roman" w:hAnsi="Times New Roman" w:cs="Times New Roman"/>
            <w:color w:val="840D17"/>
          </w:rPr>
          <w:t>Crossref</w:t>
        </w:r>
        <w:proofErr w:type="spellEnd"/>
      </w:hyperlink>
      <w:r w:rsidRPr="00A4227B">
        <w:rPr>
          <w:rFonts w:ascii="Times New Roman" w:hAnsi="Times New Roman" w:cs="Times New Roman"/>
          <w:noProof/>
          <w:color w:val="840D17"/>
        </w:rPr>
        <w:drawing>
          <wp:inline distT="0" distB="0" distL="0" distR="0">
            <wp:extent cx="1601470" cy="319405"/>
            <wp:effectExtent l="0" t="0" r="0" b="0"/>
            <wp:docPr id="2" name="Picture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1470" cy="319405"/>
                    </a:xfrm>
                    <a:prstGeom prst="rect">
                      <a:avLst/>
                    </a:prstGeom>
                    <a:noFill/>
                    <a:ln>
                      <a:noFill/>
                    </a:ln>
                  </pic:spPr>
                </pic:pic>
              </a:graphicData>
            </a:graphic>
          </wp:inline>
        </w:drawing>
      </w:r>
    </w:p>
    <w:p w:rsidR="00A4227B" w:rsidRPr="00A4227B" w:rsidRDefault="00A4227B" w:rsidP="00A4227B">
      <w:pPr>
        <w:autoSpaceDE w:val="0"/>
        <w:autoSpaceDN w:val="0"/>
        <w:adjustRightInd w:val="0"/>
        <w:rPr>
          <w:rFonts w:ascii="Times New Roman" w:hAnsi="Times New Roman" w:cs="Times New Roman"/>
          <w:b/>
          <w:bCs/>
        </w:rPr>
      </w:pPr>
      <w:r w:rsidRPr="00A4227B">
        <w:rPr>
          <w:rFonts w:ascii="Times New Roman" w:hAnsi="Times New Roman" w:cs="Times New Roman"/>
          <w:b/>
          <w:bCs/>
          <w:color w:val="262626"/>
        </w:rPr>
        <w:t>6.</w:t>
      </w:r>
    </w:p>
    <w:p w:rsidR="00A4227B" w:rsidRPr="00A4227B" w:rsidRDefault="00A4227B" w:rsidP="00A4227B">
      <w:pPr>
        <w:autoSpaceDE w:val="0"/>
        <w:autoSpaceDN w:val="0"/>
        <w:adjustRightInd w:val="0"/>
        <w:rPr>
          <w:rFonts w:ascii="Times New Roman" w:hAnsi="Times New Roman" w:cs="Times New Roman"/>
          <w:color w:val="262626"/>
        </w:rPr>
      </w:pPr>
      <w:proofErr w:type="gramStart"/>
      <w:r w:rsidRPr="00A4227B">
        <w:rPr>
          <w:rFonts w:ascii="Times New Roman" w:hAnsi="Times New Roman" w:cs="Times New Roman"/>
          <w:color w:val="262626"/>
        </w:rPr>
        <w:t>Bueno  H</w:t>
      </w:r>
      <w:proofErr w:type="gramEnd"/>
      <w:r w:rsidRPr="00A4227B">
        <w:rPr>
          <w:rFonts w:ascii="Times New Roman" w:hAnsi="Times New Roman" w:cs="Times New Roman"/>
          <w:color w:val="262626"/>
        </w:rPr>
        <w:t>, Ross  JS, Wang  Y,  et al.  Trends in length of stay and short-term outcomes among Medicare patients hospitalized for heart failure, 1993-2006. </w:t>
      </w:r>
      <w:r w:rsidRPr="00A4227B">
        <w:rPr>
          <w:rFonts w:ascii="Times New Roman" w:hAnsi="Times New Roman" w:cs="Times New Roman"/>
          <w:i/>
          <w:iCs/>
          <w:color w:val="262626"/>
        </w:rPr>
        <w:t> JAMA</w:t>
      </w:r>
      <w:r w:rsidRPr="00A4227B">
        <w:rPr>
          <w:rFonts w:ascii="Times New Roman" w:hAnsi="Times New Roman" w:cs="Times New Roman"/>
          <w:color w:val="262626"/>
        </w:rPr>
        <w:t>. 2010;303(21):2141-2147.</w:t>
      </w:r>
      <w:hyperlink r:id="rId18" w:history="1">
        <w:r w:rsidRPr="00A4227B">
          <w:rPr>
            <w:rFonts w:ascii="Times New Roman" w:hAnsi="Times New Roman" w:cs="Times New Roman"/>
            <w:color w:val="840D17"/>
          </w:rPr>
          <w:t>PubMed</w:t>
        </w:r>
      </w:hyperlink>
      <w:hyperlink r:id="rId19" w:history="1">
        <w:r w:rsidRPr="00A4227B">
          <w:rPr>
            <w:rFonts w:ascii="Times New Roman" w:hAnsi="Times New Roman" w:cs="Times New Roman"/>
            <w:color w:val="840D17"/>
          </w:rPr>
          <w:t xml:space="preserve">Google </w:t>
        </w:r>
        <w:proofErr w:type="spellStart"/>
        <w:r w:rsidRPr="00A4227B">
          <w:rPr>
            <w:rFonts w:ascii="Times New Roman" w:hAnsi="Times New Roman" w:cs="Times New Roman"/>
            <w:color w:val="840D17"/>
          </w:rPr>
          <w:t>Scholar</w:t>
        </w:r>
      </w:hyperlink>
      <w:hyperlink r:id="rId20" w:history="1">
        <w:r w:rsidRPr="00A4227B">
          <w:rPr>
            <w:rFonts w:ascii="Times New Roman" w:hAnsi="Times New Roman" w:cs="Times New Roman"/>
            <w:color w:val="840D17"/>
          </w:rPr>
          <w:t>Crossref</w:t>
        </w:r>
        <w:proofErr w:type="spellEnd"/>
      </w:hyperlink>
      <w:r w:rsidRPr="00A4227B">
        <w:rPr>
          <w:rFonts w:ascii="Times New Roman" w:hAnsi="Times New Roman" w:cs="Times New Roman"/>
          <w:noProof/>
          <w:color w:val="840D17"/>
        </w:rPr>
        <w:drawing>
          <wp:inline distT="0" distB="0" distL="0" distR="0">
            <wp:extent cx="1601470" cy="319405"/>
            <wp:effectExtent l="0" t="0" r="0" b="0"/>
            <wp:docPr id="1" name="Picture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1470" cy="319405"/>
                    </a:xfrm>
                    <a:prstGeom prst="rect">
                      <a:avLst/>
                    </a:prstGeom>
                    <a:noFill/>
                    <a:ln>
                      <a:noFill/>
                    </a:ln>
                  </pic:spPr>
                </pic:pic>
              </a:graphicData>
            </a:graphic>
          </wp:inline>
        </w:drawing>
      </w:r>
    </w:p>
    <w:p w:rsidR="00A4227B" w:rsidRPr="00A4227B" w:rsidRDefault="00A4227B" w:rsidP="00A4227B">
      <w:pPr>
        <w:autoSpaceDE w:val="0"/>
        <w:autoSpaceDN w:val="0"/>
        <w:adjustRightInd w:val="0"/>
        <w:rPr>
          <w:rFonts w:ascii="Times New Roman" w:hAnsi="Times New Roman" w:cs="Times New Roman"/>
          <w:b/>
          <w:bCs/>
        </w:rPr>
      </w:pPr>
      <w:r w:rsidRPr="00A4227B">
        <w:rPr>
          <w:rFonts w:ascii="Times New Roman" w:hAnsi="Times New Roman" w:cs="Times New Roman"/>
          <w:b/>
          <w:bCs/>
          <w:color w:val="262626"/>
        </w:rPr>
        <w:t>7.</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Medicare Payment Advisory Commission. A data book: health care spending and the Medicare program. </w:t>
      </w:r>
      <w:hyperlink r:id="rId22" w:history="1">
        <w:r w:rsidRPr="00A4227B">
          <w:rPr>
            <w:rFonts w:ascii="Times New Roman" w:hAnsi="Times New Roman" w:cs="Times New Roman"/>
            <w:i/>
            <w:iCs/>
            <w:color w:val="840D17"/>
          </w:rPr>
          <w:t>http://www.medpac.gov/documents/Jun13DataBookEntireReport.pdf</w:t>
        </w:r>
      </w:hyperlink>
      <w:r w:rsidRPr="00A4227B">
        <w:rPr>
          <w:rFonts w:ascii="Times New Roman" w:hAnsi="Times New Roman" w:cs="Times New Roman"/>
          <w:color w:val="262626"/>
        </w:rPr>
        <w:t>. Accessed November 1, 2013.</w:t>
      </w:r>
    </w:p>
    <w:p w:rsidR="00A4227B" w:rsidRPr="00A4227B" w:rsidRDefault="00A4227B" w:rsidP="00A4227B">
      <w:pPr>
        <w:autoSpaceDE w:val="0"/>
        <w:autoSpaceDN w:val="0"/>
        <w:adjustRightInd w:val="0"/>
        <w:rPr>
          <w:rFonts w:ascii="Times New Roman" w:hAnsi="Times New Roman" w:cs="Times New Roman"/>
          <w:b/>
          <w:bCs/>
        </w:rPr>
      </w:pPr>
      <w:r w:rsidRPr="00A4227B">
        <w:rPr>
          <w:rFonts w:ascii="Times New Roman" w:hAnsi="Times New Roman" w:cs="Times New Roman"/>
          <w:b/>
          <w:bCs/>
          <w:color w:val="262626"/>
        </w:rPr>
        <w:t>8.</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Dobson </w:t>
      </w:r>
      <w:proofErr w:type="spellStart"/>
      <w:r w:rsidRPr="00A4227B">
        <w:rPr>
          <w:rFonts w:ascii="Times New Roman" w:hAnsi="Times New Roman" w:cs="Times New Roman"/>
          <w:color w:val="262626"/>
        </w:rPr>
        <w:t>DaVanzo</w:t>
      </w:r>
      <w:proofErr w:type="spellEnd"/>
      <w:r w:rsidRPr="00A4227B">
        <w:rPr>
          <w:rFonts w:ascii="Times New Roman" w:hAnsi="Times New Roman" w:cs="Times New Roman"/>
          <w:color w:val="262626"/>
        </w:rPr>
        <w:t xml:space="preserve">&amp; Associates. Clinically appropriate and cost-effective placement: improving health care quality and efficiency. </w:t>
      </w:r>
      <w:hyperlink r:id="rId23" w:history="1">
        <w:r w:rsidRPr="00A4227B">
          <w:rPr>
            <w:rFonts w:ascii="Times New Roman" w:hAnsi="Times New Roman" w:cs="Times New Roman"/>
            <w:i/>
            <w:iCs/>
            <w:color w:val="840D17"/>
          </w:rPr>
          <w:t>http://www.ahhqi.org/images/pdf/cacep-report.pdf</w:t>
        </w:r>
      </w:hyperlink>
      <w:r w:rsidRPr="00A4227B">
        <w:rPr>
          <w:rFonts w:ascii="Times New Roman" w:hAnsi="Times New Roman" w:cs="Times New Roman"/>
          <w:color w:val="262626"/>
        </w:rPr>
        <w:t>. Accessed January 3, 2014.</w:t>
      </w:r>
    </w:p>
    <w:p w:rsidR="00A4227B" w:rsidRPr="00A4227B" w:rsidRDefault="00A4227B" w:rsidP="00A4227B">
      <w:pPr>
        <w:autoSpaceDE w:val="0"/>
        <w:autoSpaceDN w:val="0"/>
        <w:adjustRightInd w:val="0"/>
        <w:rPr>
          <w:rFonts w:ascii="Times New Roman" w:hAnsi="Times New Roman" w:cs="Times New Roman"/>
          <w:b/>
          <w:bCs/>
        </w:rPr>
      </w:pPr>
      <w:r w:rsidRPr="00A4227B">
        <w:rPr>
          <w:rFonts w:ascii="Times New Roman" w:hAnsi="Times New Roman" w:cs="Times New Roman"/>
          <w:b/>
          <w:bCs/>
          <w:color w:val="262626"/>
        </w:rPr>
        <w:t>9.</w:t>
      </w:r>
    </w:p>
    <w:p w:rsidR="00A4227B" w:rsidRPr="00A4227B" w:rsidRDefault="00A4227B" w:rsidP="00A4227B">
      <w:pPr>
        <w:autoSpaceDE w:val="0"/>
        <w:autoSpaceDN w:val="0"/>
        <w:adjustRightInd w:val="0"/>
        <w:rPr>
          <w:rFonts w:ascii="Times New Roman" w:hAnsi="Times New Roman" w:cs="Times New Roman"/>
          <w:color w:val="262626"/>
        </w:rPr>
      </w:pPr>
      <w:r w:rsidRPr="00A4227B">
        <w:rPr>
          <w:rFonts w:ascii="Times New Roman" w:hAnsi="Times New Roman" w:cs="Times New Roman"/>
          <w:color w:val="262626"/>
        </w:rPr>
        <w:t xml:space="preserve">Davidson A. The president wants you to get rich on Obamacare. </w:t>
      </w:r>
      <w:hyperlink r:id="rId24" w:history="1">
        <w:r w:rsidRPr="00A4227B">
          <w:rPr>
            <w:rFonts w:ascii="Times New Roman" w:hAnsi="Times New Roman" w:cs="Times New Roman"/>
            <w:i/>
            <w:iCs/>
            <w:color w:val="840D17"/>
          </w:rPr>
          <w:t>http://www.nytimes.com/2013/11/03/magazine/the-president-wants-you-to-get-rich-on-obamacare.html</w:t>
        </w:r>
      </w:hyperlink>
      <w:r w:rsidRPr="00A4227B">
        <w:rPr>
          <w:rFonts w:ascii="Times New Roman" w:hAnsi="Times New Roman" w:cs="Times New Roman"/>
          <w:color w:val="262626"/>
        </w:rPr>
        <w:t>. Accessed November 3, 2013.</w:t>
      </w:r>
    </w:p>
    <w:p w:rsidR="00A4227B" w:rsidRPr="00A4227B" w:rsidRDefault="00A4227B" w:rsidP="00A4227B">
      <w:pPr>
        <w:autoSpaceDE w:val="0"/>
        <w:autoSpaceDN w:val="0"/>
        <w:adjustRightInd w:val="0"/>
        <w:rPr>
          <w:rFonts w:ascii="Times New Roman" w:hAnsi="Times New Roman" w:cs="Times New Roman"/>
          <w:b/>
          <w:bCs/>
        </w:rPr>
      </w:pPr>
      <w:r w:rsidRPr="00A4227B">
        <w:rPr>
          <w:rFonts w:ascii="Times New Roman" w:hAnsi="Times New Roman" w:cs="Times New Roman"/>
          <w:b/>
          <w:bCs/>
          <w:color w:val="262626"/>
        </w:rPr>
        <w:t>10.</w:t>
      </w:r>
    </w:p>
    <w:p w:rsidR="00854909" w:rsidRPr="00A4227B" w:rsidRDefault="00A4227B" w:rsidP="00A4227B">
      <w:pPr>
        <w:rPr>
          <w:rFonts w:ascii="Times New Roman" w:hAnsi="Times New Roman" w:cs="Times New Roman"/>
        </w:rPr>
      </w:pPr>
      <w:proofErr w:type="gramStart"/>
      <w:r w:rsidRPr="00A4227B">
        <w:rPr>
          <w:rFonts w:ascii="Times New Roman" w:hAnsi="Times New Roman" w:cs="Times New Roman"/>
          <w:color w:val="262626"/>
        </w:rPr>
        <w:t>Lemieux  J</w:t>
      </w:r>
      <w:proofErr w:type="gramEnd"/>
      <w:r w:rsidRPr="00A4227B">
        <w:rPr>
          <w:rFonts w:ascii="Times New Roman" w:hAnsi="Times New Roman" w:cs="Times New Roman"/>
          <w:color w:val="262626"/>
        </w:rPr>
        <w:t xml:space="preserve">, Sennett  C, Wang  R, Mulligan  T, </w:t>
      </w:r>
      <w:proofErr w:type="spellStart"/>
      <w:r w:rsidRPr="00A4227B">
        <w:rPr>
          <w:rFonts w:ascii="Times New Roman" w:hAnsi="Times New Roman" w:cs="Times New Roman"/>
          <w:color w:val="262626"/>
        </w:rPr>
        <w:t>Bumbaugh</w:t>
      </w:r>
      <w:proofErr w:type="spellEnd"/>
      <w:r w:rsidRPr="00A4227B">
        <w:rPr>
          <w:rFonts w:ascii="Times New Roman" w:hAnsi="Times New Roman" w:cs="Times New Roman"/>
          <w:color w:val="262626"/>
        </w:rPr>
        <w:t xml:space="preserve">  J. Hospital readmission rates in Medicare Advantage plans. </w:t>
      </w:r>
      <w:r w:rsidRPr="00A4227B">
        <w:rPr>
          <w:rFonts w:ascii="Times New Roman" w:hAnsi="Times New Roman" w:cs="Times New Roman"/>
          <w:i/>
          <w:iCs/>
          <w:color w:val="262626"/>
        </w:rPr>
        <w:t xml:space="preserve"> Am J </w:t>
      </w:r>
      <w:proofErr w:type="spellStart"/>
      <w:r w:rsidRPr="00A4227B">
        <w:rPr>
          <w:rFonts w:ascii="Times New Roman" w:hAnsi="Times New Roman" w:cs="Times New Roman"/>
          <w:i/>
          <w:iCs/>
          <w:color w:val="262626"/>
        </w:rPr>
        <w:t>Manag</w:t>
      </w:r>
      <w:proofErr w:type="spellEnd"/>
      <w:r w:rsidRPr="00A4227B">
        <w:rPr>
          <w:rFonts w:ascii="Times New Roman" w:hAnsi="Times New Roman" w:cs="Times New Roman"/>
          <w:i/>
          <w:iCs/>
          <w:color w:val="262626"/>
        </w:rPr>
        <w:t xml:space="preserve"> Care</w:t>
      </w:r>
      <w:r w:rsidRPr="00A4227B">
        <w:rPr>
          <w:rFonts w:ascii="Times New Roman" w:hAnsi="Times New Roman" w:cs="Times New Roman"/>
          <w:color w:val="262626"/>
        </w:rPr>
        <w:t>. 2012;18(2):96-104.</w:t>
      </w:r>
    </w:p>
    <w:sectPr w:rsidR="00854909" w:rsidRPr="00A4227B" w:rsidSect="007E1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7B"/>
    <w:rsid w:val="007E1622"/>
    <w:rsid w:val="008C0C23"/>
    <w:rsid w:val="00A4227B"/>
    <w:rsid w:val="00B8035A"/>
    <w:rsid w:val="00D66BA2"/>
    <w:rsid w:val="00DA7A87"/>
    <w:rsid w:val="00EE704A"/>
    <w:rsid w:val="00F755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028B5-1B38-431C-8518-60A9A93D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ysandmeans.house.gov/uploadedfiles/miller_testimony_final_06142013.pdf" TargetMode="External"/><Relationship Id="rId13" Type="http://schemas.openxmlformats.org/officeDocument/2006/relationships/image" Target="media/image1.png"/><Relationship Id="rId18" Type="http://schemas.openxmlformats.org/officeDocument/2006/relationships/hyperlink" Target="https://www-ncbi-nlm-nih-gov.ezp.waldenulibrary.org/pubmed/2051641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resolver.ebscohost.com.ezp.waldenulibrary.org/openurl?&amp;rft_id=info:doi/10.1001/jama.2010.748" TargetMode="External"/><Relationship Id="rId7" Type="http://schemas.openxmlformats.org/officeDocument/2006/relationships/hyperlink" Target="http://www.kaiserhealthnews.org/stories/2013/november/14/value-based-purchasing-medicare.aspx" TargetMode="External"/><Relationship Id="rId12" Type="http://schemas.openxmlformats.org/officeDocument/2006/relationships/hyperlink" Target="http://resolver.ebscohost.com.ezp.waldenulibrary.org/openurl?&amp;rft_id=info:doi/10.1001/jama.2013.278139" TargetMode="External"/><Relationship Id="rId17" Type="http://schemas.openxmlformats.org/officeDocument/2006/relationships/hyperlink" Target="http://resolver.ebscohost.com.ezp.waldenulibrary.org/openurl?&amp;rft_id=info:doi/10.7326/0003-4819-155-3-201108020-0000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ezp.waldenulibrary.org/10.7326/0003-4819-155-3-201108020-00005" TargetMode="External"/><Relationship Id="rId20" Type="http://schemas.openxmlformats.org/officeDocument/2006/relationships/hyperlink" Target="https://doi-org.ezp.waldenulibrary.org/10.1001/jama.2010.748" TargetMode="External"/><Relationship Id="rId1" Type="http://schemas.openxmlformats.org/officeDocument/2006/relationships/styles" Target="styles.xml"/><Relationship Id="rId6" Type="http://schemas.openxmlformats.org/officeDocument/2006/relationships/hyperlink" Target="mailto:dackerly@partners.org" TargetMode="External"/><Relationship Id="rId11" Type="http://schemas.openxmlformats.org/officeDocument/2006/relationships/hyperlink" Target="https://doi-org.ezp.waldenulibrary.org/10.1001/jama.2013.278139" TargetMode="External"/><Relationship Id="rId24" Type="http://schemas.openxmlformats.org/officeDocument/2006/relationships/hyperlink" Target="http://www.nytimes.com/2013/11/03/magazine/the-president-wants-you-to-get-rich-on-obamacare.html" TargetMode="External"/><Relationship Id="rId5" Type="http://schemas.openxmlformats.org/officeDocument/2006/relationships/hyperlink" Target="https://jamanetwork-com.ezp.waldenulibrary.org/searchresults?author=D.+Clay+Ackerly&amp;q=D.+Clay+Ackerly" TargetMode="External"/><Relationship Id="rId15" Type="http://schemas.openxmlformats.org/officeDocument/2006/relationships/hyperlink" Target="https://scholar.google.com/scholar_lookup?title=Association%20of%20hospitalist%20care%20with%20medical%20utilization%20after%20discharge%3A%20evidence%20of%20cost%20shift%20from%20a%20cohort%20study.&amp;author=Y-F%20Kuo&amp;author=JS%20Goodwin&amp;publication_year=2011&amp;journal=Ann%20Intern%20Med&amp;volume=155&amp;pages=152-159" TargetMode="External"/><Relationship Id="rId23" Type="http://schemas.openxmlformats.org/officeDocument/2006/relationships/hyperlink" Target="http://www.ahhqi.org/images/pdf/cacep-report.pdf" TargetMode="External"/><Relationship Id="rId10" Type="http://schemas.openxmlformats.org/officeDocument/2006/relationships/hyperlink" Target="https://scholar.google.com/scholar_lookup?title=Geographic%20variation%20in%20health%20care%20spending%20in%20the%20United%20States%3A%20insights%20from%20an%20Institute%20of%20Medicine%20report.&amp;author=JP%20Newhouse&amp;author=AM%20Garber&amp;publication_year=2013&amp;journal=JAMA&amp;volume=310&amp;pages=1227-1228" TargetMode="External"/><Relationship Id="rId19" Type="http://schemas.openxmlformats.org/officeDocument/2006/relationships/hyperlink" Target="https://scholar.google.com/scholar_lookup?title=Trends%20in%20length%20of%20stay%20and%20short-term%20outcomes%20among%20Medicare%20patients%20hospitalized%20for%20heart%20failure%2C%201993-2006.&amp;author=H%20Bueno&amp;author=JS%20Ross&amp;author=Y%20Wang&amp;publication_year=2010&amp;journal=JAMA&amp;volume=303&amp;pages=2141-2147" TargetMode="External"/><Relationship Id="rId4" Type="http://schemas.openxmlformats.org/officeDocument/2006/relationships/hyperlink" Target="https://jamanetwork-com.ezp.waldenulibrary.org/searchresults?author=Christopher+Chen&amp;q=Christopher+Chen" TargetMode="External"/><Relationship Id="rId9" Type="http://schemas.openxmlformats.org/officeDocument/2006/relationships/hyperlink" Target="https://www-ncbi-nlm-nih-gov.ezp.waldenulibrary.org/pubmed/24008265" TargetMode="External"/><Relationship Id="rId14" Type="http://schemas.openxmlformats.org/officeDocument/2006/relationships/hyperlink" Target="https://www-ncbi-nlm-nih-gov.ezp.waldenulibrary.org/pubmed/21810708" TargetMode="External"/><Relationship Id="rId22" Type="http://schemas.openxmlformats.org/officeDocument/2006/relationships/hyperlink" Target="http://www.medpac.gov/documents/Jun13DataBookEntire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Temperance Scott</dc:creator>
  <cp:lastModifiedBy>augky</cp:lastModifiedBy>
  <cp:revision>2</cp:revision>
  <dcterms:created xsi:type="dcterms:W3CDTF">2018-06-21T12:17:00Z</dcterms:created>
  <dcterms:modified xsi:type="dcterms:W3CDTF">2018-06-21T12:17:00Z</dcterms:modified>
</cp:coreProperties>
</file>