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F762B" w14:textId="77777777" w:rsidR="008C7E62" w:rsidRPr="008C7E62" w:rsidRDefault="008C7E62" w:rsidP="008C7E62">
      <w:pPr>
        <w:shd w:val="clear" w:color="auto" w:fill="C4D5DD"/>
        <w:spacing w:after="0" w:line="312" w:lineRule="atLeast"/>
        <w:outlineLvl w:val="2"/>
        <w:rPr>
          <w:rFonts w:ascii="Arial" w:eastAsia="Times New Roman" w:hAnsi="Arial" w:cs="Arial"/>
          <w:b/>
          <w:bCs/>
          <w:color w:val="005697"/>
          <w:sz w:val="29"/>
          <w:szCs w:val="29"/>
        </w:rPr>
      </w:pPr>
      <w:bookmarkStart w:id="0" w:name="_GoBack"/>
      <w:bookmarkEnd w:id="0"/>
      <w:r w:rsidRPr="008C7E62">
        <w:rPr>
          <w:rFonts w:ascii="Arial" w:eastAsia="Times New Roman" w:hAnsi="Arial" w:cs="Arial"/>
          <w:b/>
          <w:bCs/>
          <w:color w:val="005697"/>
          <w:sz w:val="29"/>
          <w:szCs w:val="29"/>
        </w:rPr>
        <w:t>Modular Learning Outcomes</w:t>
      </w:r>
    </w:p>
    <w:p w14:paraId="18552B43" w14:textId="77777777" w:rsidR="008C7E62" w:rsidRPr="008C7E62" w:rsidRDefault="008C7E62" w:rsidP="008C7E62">
      <w:pPr>
        <w:shd w:val="clear" w:color="auto" w:fill="FFFFFF"/>
        <w:spacing w:before="100" w:beforeAutospacing="1" w:after="100" w:afterAutospacing="1" w:line="312" w:lineRule="atLeast"/>
        <w:ind w:left="1050" w:right="1050"/>
        <w:rPr>
          <w:rFonts w:ascii="Arial" w:eastAsia="Times New Roman" w:hAnsi="Arial" w:cs="Arial"/>
          <w:color w:val="00457C"/>
          <w:sz w:val="27"/>
          <w:szCs w:val="27"/>
        </w:rPr>
      </w:pPr>
      <w:r w:rsidRPr="008C7E62">
        <w:rPr>
          <w:rFonts w:ascii="Arial" w:eastAsia="Times New Roman" w:hAnsi="Arial" w:cs="Arial"/>
          <w:color w:val="00457C"/>
          <w:sz w:val="27"/>
          <w:szCs w:val="27"/>
        </w:rPr>
        <w:t>Upon successful completion of this module, the student will be able to satisfy the following outcomes:</w:t>
      </w:r>
    </w:p>
    <w:p w14:paraId="16696270" w14:textId="77777777" w:rsidR="008C7E62" w:rsidRPr="008C7E62" w:rsidRDefault="008C7E62" w:rsidP="008C7E62">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8C7E62">
        <w:rPr>
          <w:rFonts w:ascii="Arial" w:eastAsia="Times New Roman" w:hAnsi="Arial" w:cs="Arial"/>
          <w:color w:val="00457C"/>
          <w:sz w:val="23"/>
          <w:szCs w:val="23"/>
        </w:rPr>
        <w:t>Case</w:t>
      </w:r>
    </w:p>
    <w:p w14:paraId="63F225E5" w14:textId="77777777" w:rsidR="008C7E62" w:rsidRPr="008C7E62" w:rsidRDefault="008C7E62" w:rsidP="008C7E62">
      <w:pPr>
        <w:shd w:val="clear" w:color="auto" w:fill="FFFFFF"/>
        <w:spacing w:after="0" w:line="312" w:lineRule="atLeast"/>
        <w:ind w:left="1050" w:right="2160"/>
        <w:rPr>
          <w:rFonts w:ascii="Arial" w:eastAsia="Times New Roman" w:hAnsi="Arial" w:cs="Arial"/>
          <w:color w:val="00457C"/>
        </w:rPr>
      </w:pPr>
      <w:r w:rsidRPr="008C7E62">
        <w:rPr>
          <w:rFonts w:ascii="Arial" w:eastAsia="Times New Roman" w:hAnsi="Arial" w:cs="Arial"/>
          <w:color w:val="00457C"/>
        </w:rPr>
        <w:t>Apply break-even analysis to a business scenario.</w:t>
      </w:r>
    </w:p>
    <w:p w14:paraId="5BA4BFC5" w14:textId="77777777" w:rsidR="008C7E62" w:rsidRPr="008C7E62" w:rsidRDefault="008C7E62" w:rsidP="008C7E62">
      <w:pPr>
        <w:numPr>
          <w:ilvl w:val="0"/>
          <w:numId w:val="1"/>
        </w:numPr>
        <w:shd w:val="clear" w:color="auto" w:fill="FFFFFF"/>
        <w:spacing w:after="0" w:line="312" w:lineRule="atLeast"/>
        <w:ind w:left="1050" w:right="1080"/>
        <w:rPr>
          <w:rFonts w:ascii="Arial" w:eastAsia="Times New Roman" w:hAnsi="Arial" w:cs="Arial"/>
          <w:color w:val="00457C"/>
          <w:sz w:val="23"/>
          <w:szCs w:val="23"/>
        </w:rPr>
      </w:pPr>
      <w:r w:rsidRPr="008C7E62">
        <w:rPr>
          <w:rFonts w:ascii="Arial" w:eastAsia="Times New Roman" w:hAnsi="Arial" w:cs="Arial"/>
          <w:color w:val="00457C"/>
          <w:sz w:val="23"/>
          <w:szCs w:val="23"/>
        </w:rPr>
        <w:t>SLP</w:t>
      </w:r>
    </w:p>
    <w:p w14:paraId="5A5DD2E3" w14:textId="77777777" w:rsidR="008C7E62" w:rsidRPr="008C7E62" w:rsidRDefault="008C7E62" w:rsidP="008C7E62">
      <w:pPr>
        <w:shd w:val="clear" w:color="auto" w:fill="FFFFFF"/>
        <w:spacing w:after="0" w:line="312" w:lineRule="atLeast"/>
        <w:ind w:left="1050" w:right="2160"/>
        <w:rPr>
          <w:rFonts w:ascii="Arial" w:eastAsia="Times New Roman" w:hAnsi="Arial" w:cs="Arial"/>
          <w:color w:val="00457C"/>
        </w:rPr>
      </w:pPr>
      <w:r w:rsidRPr="008C7E62">
        <w:rPr>
          <w:rFonts w:ascii="Arial" w:eastAsia="Times New Roman" w:hAnsi="Arial" w:cs="Arial"/>
          <w:color w:val="00457C"/>
        </w:rPr>
        <w:t>Identify special pricing issues.</w:t>
      </w:r>
    </w:p>
    <w:p w14:paraId="1350F2C9" w14:textId="77777777" w:rsidR="008C7E62" w:rsidRPr="008C7E62" w:rsidRDefault="008C7E62" w:rsidP="008C7E62">
      <w:pPr>
        <w:shd w:val="clear" w:color="auto" w:fill="C4D5DD"/>
        <w:spacing w:after="0" w:line="312" w:lineRule="atLeast"/>
        <w:outlineLvl w:val="2"/>
        <w:rPr>
          <w:rFonts w:ascii="Arial" w:eastAsia="Times New Roman" w:hAnsi="Arial" w:cs="Arial"/>
          <w:b/>
          <w:bCs/>
          <w:color w:val="005697"/>
          <w:sz w:val="29"/>
          <w:szCs w:val="29"/>
        </w:rPr>
      </w:pPr>
      <w:r w:rsidRPr="008C7E62">
        <w:rPr>
          <w:rFonts w:ascii="Arial" w:eastAsia="Times New Roman" w:hAnsi="Arial" w:cs="Arial"/>
          <w:b/>
          <w:bCs/>
          <w:color w:val="005697"/>
          <w:sz w:val="29"/>
          <w:szCs w:val="29"/>
        </w:rPr>
        <w:t>Module Overview</w:t>
      </w:r>
    </w:p>
    <w:p w14:paraId="237ECEB4"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t>Cost-volume-profit (CVP) analysis helps managers understand the interrelationships among cost, volume, and profit by focusing their attention on the interactions among the prices of products, volume of activity, per-unit variable costs, total fixed costs, and mix of products sold. It is a vital tool used in many business decisions such as deciding what products to manufacture or sell, what pricing policy to follow, what marketing strategy to employ, and what type of production facilities to acquire.</w:t>
      </w:r>
    </w:p>
    <w:p w14:paraId="52CCA662"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b/>
          <w:bCs/>
          <w:color w:val="363636"/>
          <w:sz w:val="27"/>
          <w:szCs w:val="27"/>
        </w:rPr>
        <w:t>The variable costing income statement </w:t>
      </w:r>
      <w:r w:rsidRPr="008C7E62">
        <w:rPr>
          <w:rFonts w:ascii="Arial" w:eastAsia="Times New Roman" w:hAnsi="Arial" w:cs="Arial"/>
          <w:color w:val="363636"/>
          <w:sz w:val="27"/>
          <w:szCs w:val="27"/>
        </w:rPr>
        <w:t>is helpful to managers in judging the impact on profits of changes in selling price, cost, or volume.</w:t>
      </w:r>
    </w:p>
    <w:p w14:paraId="1017D306"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t>Sales, variable expenses, and contribution margin can also be expressed on a </w:t>
      </w:r>
      <w:r w:rsidRPr="008C7E62">
        <w:rPr>
          <w:rFonts w:ascii="Arial" w:eastAsia="Times New Roman" w:hAnsi="Arial" w:cs="Arial"/>
          <w:b/>
          <w:bCs/>
          <w:color w:val="363636"/>
          <w:sz w:val="27"/>
          <w:szCs w:val="27"/>
        </w:rPr>
        <w:t>per-unit basis</w:t>
      </w:r>
      <w:r w:rsidRPr="008C7E62">
        <w:rPr>
          <w:rFonts w:ascii="Arial" w:eastAsia="Times New Roman" w:hAnsi="Arial" w:cs="Arial"/>
          <w:color w:val="363636"/>
          <w:sz w:val="27"/>
          <w:szCs w:val="27"/>
        </w:rPr>
        <w:t> or as a percentage.</w:t>
      </w:r>
    </w:p>
    <w:p w14:paraId="7D074359"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b/>
          <w:bCs/>
          <w:color w:val="363636"/>
          <w:sz w:val="27"/>
          <w:szCs w:val="27"/>
        </w:rPr>
        <w:t>Contribution margin ratio (CM ratio)</w:t>
      </w:r>
    </w:p>
    <w:p w14:paraId="1AAFBA0D"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t>The CM ratio is calculated by dividing the </w:t>
      </w:r>
      <w:r w:rsidRPr="008C7E62">
        <w:rPr>
          <w:rFonts w:ascii="Arial" w:eastAsia="Times New Roman" w:hAnsi="Arial" w:cs="Arial"/>
          <w:b/>
          <w:bCs/>
          <w:color w:val="363636"/>
          <w:sz w:val="27"/>
          <w:szCs w:val="27"/>
        </w:rPr>
        <w:t>total</w:t>
      </w:r>
      <w:r w:rsidRPr="008C7E62">
        <w:rPr>
          <w:rFonts w:ascii="Arial" w:eastAsia="Times New Roman" w:hAnsi="Arial" w:cs="Arial"/>
          <w:color w:val="363636"/>
          <w:sz w:val="27"/>
          <w:szCs w:val="27"/>
        </w:rPr>
        <w:t> contribution margin by </w:t>
      </w:r>
      <w:r w:rsidRPr="008C7E62">
        <w:rPr>
          <w:rFonts w:ascii="Arial" w:eastAsia="Times New Roman" w:hAnsi="Arial" w:cs="Arial"/>
          <w:b/>
          <w:bCs/>
          <w:color w:val="363636"/>
          <w:sz w:val="27"/>
          <w:szCs w:val="27"/>
        </w:rPr>
        <w:t>total</w:t>
      </w:r>
      <w:r w:rsidRPr="008C7E62">
        <w:rPr>
          <w:rFonts w:ascii="Arial" w:eastAsia="Times New Roman" w:hAnsi="Arial" w:cs="Arial"/>
          <w:color w:val="363636"/>
          <w:sz w:val="27"/>
          <w:szCs w:val="27"/>
        </w:rPr>
        <w:t> sales.</w:t>
      </w:r>
    </w:p>
    <w:p w14:paraId="62813CFE"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t>The CM ratio can also be calculated by dividing the contribution margin </w:t>
      </w:r>
      <w:r w:rsidRPr="008C7E62">
        <w:rPr>
          <w:rFonts w:ascii="Arial" w:eastAsia="Times New Roman" w:hAnsi="Arial" w:cs="Arial"/>
          <w:b/>
          <w:bCs/>
          <w:color w:val="363636"/>
          <w:sz w:val="27"/>
          <w:szCs w:val="27"/>
        </w:rPr>
        <w:t>per unit</w:t>
      </w:r>
      <w:r w:rsidRPr="008C7E62">
        <w:rPr>
          <w:rFonts w:ascii="Arial" w:eastAsia="Times New Roman" w:hAnsi="Arial" w:cs="Arial"/>
          <w:color w:val="363636"/>
          <w:sz w:val="27"/>
          <w:szCs w:val="27"/>
        </w:rPr>
        <w:t> by the selling price </w:t>
      </w:r>
      <w:r w:rsidRPr="008C7E62">
        <w:rPr>
          <w:rFonts w:ascii="Arial" w:eastAsia="Times New Roman" w:hAnsi="Arial" w:cs="Arial"/>
          <w:b/>
          <w:bCs/>
          <w:color w:val="363636"/>
          <w:sz w:val="27"/>
          <w:szCs w:val="27"/>
        </w:rPr>
        <w:t>per unit.</w:t>
      </w:r>
    </w:p>
    <w:p w14:paraId="130DC5ED"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b/>
          <w:bCs/>
          <w:color w:val="363636"/>
          <w:sz w:val="27"/>
          <w:szCs w:val="27"/>
        </w:rPr>
        <w:t>Break-even analysis</w:t>
      </w:r>
    </w:p>
    <w:p w14:paraId="126ECCEC"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t>The break-even point can be computed using either the </w:t>
      </w:r>
      <w:r w:rsidRPr="008C7E62">
        <w:rPr>
          <w:rFonts w:ascii="Arial" w:eastAsia="Times New Roman" w:hAnsi="Arial" w:cs="Arial"/>
          <w:b/>
          <w:bCs/>
          <w:color w:val="363636"/>
          <w:sz w:val="27"/>
          <w:szCs w:val="27"/>
        </w:rPr>
        <w:t>equation method</w:t>
      </w:r>
      <w:r w:rsidRPr="008C7E62">
        <w:rPr>
          <w:rFonts w:ascii="Arial" w:eastAsia="Times New Roman" w:hAnsi="Arial" w:cs="Arial"/>
          <w:color w:val="363636"/>
          <w:sz w:val="27"/>
          <w:szCs w:val="27"/>
        </w:rPr>
        <w:t> or the </w:t>
      </w:r>
      <w:r w:rsidRPr="008C7E62">
        <w:rPr>
          <w:rFonts w:ascii="Arial" w:eastAsia="Times New Roman" w:hAnsi="Arial" w:cs="Arial"/>
          <w:b/>
          <w:bCs/>
          <w:color w:val="363636"/>
          <w:sz w:val="27"/>
          <w:szCs w:val="27"/>
        </w:rPr>
        <w:t>contribution margin method</w:t>
      </w:r>
      <w:r w:rsidRPr="008C7E62">
        <w:rPr>
          <w:rFonts w:ascii="Arial" w:eastAsia="Times New Roman" w:hAnsi="Arial" w:cs="Arial"/>
          <w:color w:val="363636"/>
          <w:sz w:val="27"/>
          <w:szCs w:val="27"/>
        </w:rPr>
        <w:t>.</w:t>
      </w:r>
    </w:p>
    <w:p w14:paraId="3FB83993"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b/>
          <w:bCs/>
          <w:color w:val="363636"/>
          <w:sz w:val="27"/>
          <w:szCs w:val="27"/>
        </w:rPr>
        <w:lastRenderedPageBreak/>
        <w:t>The equation method</w:t>
      </w:r>
      <w:r w:rsidRPr="008C7E62">
        <w:rPr>
          <w:rFonts w:ascii="Arial" w:eastAsia="Times New Roman" w:hAnsi="Arial" w:cs="Arial"/>
          <w:color w:val="363636"/>
          <w:sz w:val="27"/>
          <w:szCs w:val="27"/>
        </w:rPr>
        <w:t> is based on the contribution approach income statement.</w:t>
      </w:r>
    </w:p>
    <w:p w14:paraId="19858CF4"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t>The equation can be stated in one of two ways:</w:t>
      </w:r>
    </w:p>
    <w:p w14:paraId="337D2A3C"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b/>
          <w:bCs/>
          <w:color w:val="363636"/>
          <w:sz w:val="27"/>
          <w:szCs w:val="27"/>
        </w:rPr>
        <w:t>Profits = (Sales – Variable expenses) – Fixed Expenses</w:t>
      </w:r>
    </w:p>
    <w:p w14:paraId="63C9FF1C"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t>or</w:t>
      </w:r>
    </w:p>
    <w:p w14:paraId="574CC1AB"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b/>
          <w:bCs/>
          <w:color w:val="363636"/>
          <w:sz w:val="27"/>
          <w:szCs w:val="27"/>
        </w:rPr>
        <w:t>Sales = Variable expenses + Fixed expenses + Profits</w:t>
      </w:r>
    </w:p>
    <w:p w14:paraId="36AE978F"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t>The contribution margin method </w:t>
      </w:r>
      <w:r w:rsidRPr="008C7E62">
        <w:rPr>
          <w:rFonts w:ascii="Arial" w:eastAsia="Times New Roman" w:hAnsi="Arial" w:cs="Arial"/>
          <w:b/>
          <w:bCs/>
          <w:color w:val="363636"/>
          <w:sz w:val="27"/>
          <w:szCs w:val="27"/>
        </w:rPr>
        <w:t>has two key equations:</w:t>
      </w:r>
    </w:p>
    <w:p w14:paraId="62F92C01"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b/>
          <w:bCs/>
          <w:color w:val="363636"/>
          <w:sz w:val="27"/>
          <w:szCs w:val="27"/>
        </w:rPr>
        <w:t>Break-even point in units sold = Fixed expenses divided by CM per unit</w:t>
      </w:r>
    </w:p>
    <w:p w14:paraId="0C1A0127"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b/>
          <w:bCs/>
          <w:color w:val="363636"/>
          <w:sz w:val="27"/>
          <w:szCs w:val="27"/>
        </w:rPr>
        <w:t>Break-even point in sales dollars = Fixed expenses divided by CM ratio</w:t>
      </w:r>
    </w:p>
    <w:p w14:paraId="5CAAE007"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b/>
          <w:bCs/>
          <w:color w:val="363636"/>
          <w:sz w:val="27"/>
          <w:szCs w:val="27"/>
        </w:rPr>
        <w:t>The margin of safety</w:t>
      </w:r>
    </w:p>
    <w:p w14:paraId="2261427D"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t>The margin of safety is the </w:t>
      </w:r>
      <w:r w:rsidRPr="008C7E62">
        <w:rPr>
          <w:rFonts w:ascii="Arial" w:eastAsia="Times New Roman" w:hAnsi="Arial" w:cs="Arial"/>
          <w:b/>
          <w:bCs/>
          <w:color w:val="363636"/>
          <w:sz w:val="27"/>
          <w:szCs w:val="27"/>
        </w:rPr>
        <w:t>excess of budgeted (or actual) sales over the break-even volume of sales</w:t>
      </w:r>
      <w:r w:rsidRPr="008C7E62">
        <w:rPr>
          <w:rFonts w:ascii="Arial" w:eastAsia="Times New Roman" w:hAnsi="Arial" w:cs="Arial"/>
          <w:color w:val="363636"/>
          <w:sz w:val="27"/>
          <w:szCs w:val="27"/>
        </w:rPr>
        <w:t>.</w:t>
      </w:r>
    </w:p>
    <w:p w14:paraId="08407601"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b/>
          <w:bCs/>
          <w:color w:val="363636"/>
          <w:sz w:val="27"/>
          <w:szCs w:val="27"/>
        </w:rPr>
        <w:t>Cost structure</w:t>
      </w:r>
      <w:r w:rsidRPr="008C7E62">
        <w:rPr>
          <w:rFonts w:ascii="Arial" w:eastAsia="Times New Roman" w:hAnsi="Arial" w:cs="Arial"/>
          <w:color w:val="363636"/>
          <w:sz w:val="27"/>
          <w:szCs w:val="27"/>
        </w:rPr>
        <w:t> refers to the relative proportion of fixed and variable costs in an organization. Managers often have some latitude in determining their organization's cost structure.</w:t>
      </w:r>
    </w:p>
    <w:p w14:paraId="2BFBA782"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t>There are </w:t>
      </w:r>
      <w:r w:rsidRPr="008C7E62">
        <w:rPr>
          <w:rFonts w:ascii="Arial" w:eastAsia="Times New Roman" w:hAnsi="Arial" w:cs="Arial"/>
          <w:b/>
          <w:bCs/>
          <w:color w:val="363636"/>
          <w:sz w:val="27"/>
          <w:szCs w:val="27"/>
        </w:rPr>
        <w:t>advantages and disadvantages</w:t>
      </w:r>
      <w:r w:rsidRPr="008C7E62">
        <w:rPr>
          <w:rFonts w:ascii="Arial" w:eastAsia="Times New Roman" w:hAnsi="Arial" w:cs="Arial"/>
          <w:color w:val="363636"/>
          <w:sz w:val="27"/>
          <w:szCs w:val="27"/>
        </w:rPr>
        <w:t> to high fixed cost (or low variable cost) and low fixed cost (or high variable cost) structures.</w:t>
      </w:r>
    </w:p>
    <w:p w14:paraId="7055E0F8"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t>An advantage of a high fixed cost structure is that income will be higher in good years compared to companies with a lower proportion of fixed costs.</w:t>
      </w:r>
    </w:p>
    <w:p w14:paraId="29A47385"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t>A disadvantage of a high fixed cost structure is that income will be lower in bad years compared to companies with a lower proportion of fixed costs.</w:t>
      </w:r>
    </w:p>
    <w:p w14:paraId="24F07EAC"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lastRenderedPageBreak/>
        <w:t>Companies with low fixed cost structures enjoy greater stability in income across good and bad years.</w:t>
      </w:r>
    </w:p>
    <w:p w14:paraId="39385FA8"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b/>
          <w:bCs/>
          <w:color w:val="363636"/>
          <w:sz w:val="27"/>
          <w:szCs w:val="27"/>
        </w:rPr>
        <w:t>Operating leverage</w:t>
      </w:r>
    </w:p>
    <w:p w14:paraId="42BA7B56"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t>Operating leverage is a measure of </w:t>
      </w:r>
      <w:r w:rsidRPr="008C7E62">
        <w:rPr>
          <w:rFonts w:ascii="Arial" w:eastAsia="Times New Roman" w:hAnsi="Arial" w:cs="Arial"/>
          <w:b/>
          <w:bCs/>
          <w:color w:val="363636"/>
          <w:sz w:val="27"/>
          <w:szCs w:val="27"/>
        </w:rPr>
        <w:t>how sensitive net operating income is to percentage changes in sales</w:t>
      </w:r>
      <w:r w:rsidRPr="008C7E62">
        <w:rPr>
          <w:rFonts w:ascii="Arial" w:eastAsia="Times New Roman" w:hAnsi="Arial" w:cs="Arial"/>
          <w:color w:val="363636"/>
          <w:sz w:val="27"/>
          <w:szCs w:val="27"/>
        </w:rPr>
        <w:t>.</w:t>
      </w:r>
    </w:p>
    <w:p w14:paraId="071A5AC7"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t>The degree of operating leverage is a measure, at any given level of sales, of how a percentage change in sales volume will affect profits. It is computed as follows:</w:t>
      </w:r>
    </w:p>
    <w:p w14:paraId="1919312D"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b/>
          <w:bCs/>
          <w:color w:val="363636"/>
          <w:sz w:val="27"/>
          <w:szCs w:val="27"/>
        </w:rPr>
        <w:t>Degree of operating leverage = Contribution margin divided by net operating income</w:t>
      </w:r>
    </w:p>
    <w:p w14:paraId="76805D9E" w14:textId="77777777" w:rsidR="008C7E62" w:rsidRPr="008C7E62" w:rsidRDefault="008C7E62" w:rsidP="008C7E62">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C7E62">
        <w:rPr>
          <w:rFonts w:ascii="Arial" w:eastAsia="Times New Roman" w:hAnsi="Arial" w:cs="Arial"/>
          <w:color w:val="363636"/>
          <w:sz w:val="27"/>
          <w:szCs w:val="27"/>
        </w:rPr>
        <w:t>The degree of operating leverage is not a constant—like unit variable cost or unit contribution margin—that a manager can apply with confidence in a variety of situations. The degree of operating leverage depends on the level of sales and must be recomputed each time the sales level changes. Also, note that operating leverage is greatest at sales levels near the break-even point and it decreases as sales and profits rise.</w:t>
      </w:r>
    </w:p>
    <w:p w14:paraId="3594612C" w14:textId="77777777" w:rsidR="0008140C" w:rsidRDefault="0008140C"/>
    <w:sectPr w:rsidR="0008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34879"/>
    <w:multiLevelType w:val="multilevel"/>
    <w:tmpl w:val="026C6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MzMwMDAzsbQ0NjBS0lEKTi0uzszPAykwrAUAFINhzywAAAA="/>
  </w:docVars>
  <w:rsids>
    <w:rsidRoot w:val="008C7E62"/>
    <w:rsid w:val="0008140C"/>
    <w:rsid w:val="008C7E62"/>
    <w:rsid w:val="00C9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4839"/>
  <w15:chartTrackingRefBased/>
  <w15:docId w15:val="{298042D7-CA72-483F-B8B8-EC65B442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C7E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E6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7E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207226">
      <w:bodyDiv w:val="1"/>
      <w:marLeft w:val="0"/>
      <w:marRight w:val="0"/>
      <w:marTop w:val="0"/>
      <w:marBottom w:val="0"/>
      <w:divBdr>
        <w:top w:val="none" w:sz="0" w:space="0" w:color="auto"/>
        <w:left w:val="none" w:sz="0" w:space="0" w:color="auto"/>
        <w:bottom w:val="none" w:sz="0" w:space="0" w:color="auto"/>
        <w:right w:val="none" w:sz="0" w:space="0" w:color="auto"/>
      </w:divBdr>
      <w:divsChild>
        <w:div w:id="1711103044">
          <w:marLeft w:val="0"/>
          <w:marRight w:val="0"/>
          <w:marTop w:val="0"/>
          <w:marBottom w:val="0"/>
          <w:divBdr>
            <w:top w:val="none" w:sz="0" w:space="0" w:color="auto"/>
            <w:left w:val="none" w:sz="0" w:space="0" w:color="auto"/>
            <w:bottom w:val="none" w:sz="0" w:space="0" w:color="auto"/>
            <w:right w:val="none" w:sz="0" w:space="0" w:color="auto"/>
          </w:divBdr>
          <w:divsChild>
            <w:div w:id="789710344">
              <w:marLeft w:val="0"/>
              <w:marRight w:val="0"/>
              <w:marTop w:val="0"/>
              <w:marBottom w:val="0"/>
              <w:divBdr>
                <w:top w:val="none" w:sz="0" w:space="0" w:color="auto"/>
                <w:left w:val="none" w:sz="0" w:space="0" w:color="auto"/>
                <w:bottom w:val="none" w:sz="0" w:space="0" w:color="auto"/>
                <w:right w:val="none" w:sz="0" w:space="0" w:color="auto"/>
              </w:divBdr>
            </w:div>
          </w:divsChild>
        </w:div>
        <w:div w:id="1144277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2018-08-04T02:03:00Z</dcterms:created>
  <dcterms:modified xsi:type="dcterms:W3CDTF">2018-08-04T02:03:00Z</dcterms:modified>
</cp:coreProperties>
</file>