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380" w:rsidRPr="002C6380" w:rsidRDefault="00254694" w:rsidP="002C6380">
      <w:pPr>
        <w:shd w:val="clear" w:color="auto" w:fill="FFFFFF"/>
        <w:spacing w:before="300" w:after="150" w:line="480" w:lineRule="auto"/>
        <w:jc w:val="center"/>
        <w:outlineLvl w:val="0"/>
        <w:rPr>
          <w:rFonts w:eastAsia="Times New Roman"/>
          <w:b/>
          <w:bCs/>
          <w:kern w:val="36"/>
          <w:szCs w:val="24"/>
        </w:rPr>
      </w:pPr>
    </w:p>
    <w:p w:rsidR="002C6380" w:rsidRPr="002C6380" w:rsidRDefault="00254694" w:rsidP="002C6380">
      <w:pPr>
        <w:shd w:val="clear" w:color="auto" w:fill="FFFFFF"/>
        <w:spacing w:before="300" w:after="150" w:line="480" w:lineRule="auto"/>
        <w:jc w:val="center"/>
        <w:outlineLvl w:val="0"/>
        <w:rPr>
          <w:rFonts w:eastAsia="Times New Roman"/>
          <w:b/>
          <w:bCs/>
          <w:kern w:val="36"/>
          <w:szCs w:val="24"/>
        </w:rPr>
      </w:pPr>
    </w:p>
    <w:p w:rsidR="002C6380" w:rsidRPr="002C6380" w:rsidRDefault="00254694" w:rsidP="002C6380">
      <w:pPr>
        <w:shd w:val="clear" w:color="auto" w:fill="FFFFFF"/>
        <w:spacing w:before="300" w:after="150" w:line="480" w:lineRule="auto"/>
        <w:jc w:val="center"/>
        <w:outlineLvl w:val="0"/>
        <w:rPr>
          <w:rFonts w:eastAsia="Times New Roman"/>
          <w:b/>
          <w:bCs/>
          <w:kern w:val="36"/>
          <w:szCs w:val="24"/>
        </w:rPr>
      </w:pPr>
    </w:p>
    <w:p w:rsidR="002C6380" w:rsidRPr="002C6380" w:rsidRDefault="00254694" w:rsidP="002C6380">
      <w:pPr>
        <w:shd w:val="clear" w:color="auto" w:fill="FFFFFF"/>
        <w:spacing w:before="300" w:after="150" w:line="480" w:lineRule="auto"/>
        <w:jc w:val="center"/>
        <w:outlineLvl w:val="0"/>
        <w:rPr>
          <w:rFonts w:eastAsia="Times New Roman"/>
          <w:b/>
          <w:bCs/>
          <w:kern w:val="36"/>
          <w:szCs w:val="24"/>
        </w:rPr>
      </w:pPr>
    </w:p>
    <w:p w:rsidR="002C6380" w:rsidRPr="002C6380" w:rsidRDefault="00254694" w:rsidP="002C6380">
      <w:pPr>
        <w:shd w:val="clear" w:color="auto" w:fill="FFFFFF"/>
        <w:spacing w:before="300" w:after="150" w:line="480" w:lineRule="auto"/>
        <w:jc w:val="center"/>
        <w:outlineLvl w:val="0"/>
        <w:rPr>
          <w:rFonts w:eastAsia="Times New Roman"/>
          <w:b/>
          <w:bCs/>
          <w:kern w:val="36"/>
          <w:szCs w:val="24"/>
        </w:rPr>
      </w:pPr>
    </w:p>
    <w:p w:rsidR="002C6380" w:rsidRPr="005360A8" w:rsidRDefault="00E85EE7" w:rsidP="002C6380">
      <w:pPr>
        <w:shd w:val="clear" w:color="auto" w:fill="FFFFFF"/>
        <w:spacing w:before="300" w:after="150" w:line="480" w:lineRule="auto"/>
        <w:jc w:val="center"/>
        <w:outlineLvl w:val="0"/>
        <w:rPr>
          <w:rFonts w:eastAsia="Times New Roman"/>
          <w:bCs/>
          <w:kern w:val="36"/>
          <w:szCs w:val="24"/>
        </w:rPr>
      </w:pPr>
      <w:r w:rsidRPr="005360A8">
        <w:rPr>
          <w:rFonts w:eastAsia="Times New Roman"/>
          <w:bCs/>
          <w:kern w:val="36"/>
          <w:szCs w:val="24"/>
        </w:rPr>
        <w:t>Rules of an Employer</w:t>
      </w:r>
    </w:p>
    <w:p w:rsidR="002C6380" w:rsidRPr="005360A8" w:rsidRDefault="00E85EE7" w:rsidP="002C6380">
      <w:pPr>
        <w:shd w:val="clear" w:color="auto" w:fill="FFFFFF"/>
        <w:spacing w:before="300" w:after="150" w:line="480" w:lineRule="auto"/>
        <w:jc w:val="center"/>
        <w:outlineLvl w:val="0"/>
        <w:rPr>
          <w:rFonts w:eastAsia="Times New Roman"/>
          <w:bCs/>
          <w:kern w:val="36"/>
          <w:szCs w:val="24"/>
        </w:rPr>
      </w:pPr>
      <w:r w:rsidRPr="005360A8">
        <w:rPr>
          <w:rFonts w:eastAsia="Times New Roman"/>
          <w:bCs/>
          <w:kern w:val="36"/>
          <w:szCs w:val="24"/>
        </w:rPr>
        <w:t>Student’s Name</w:t>
      </w:r>
    </w:p>
    <w:p w:rsidR="002C6380" w:rsidRPr="005360A8" w:rsidRDefault="00E85EE7" w:rsidP="002C6380">
      <w:pPr>
        <w:shd w:val="clear" w:color="auto" w:fill="FFFFFF"/>
        <w:spacing w:before="300" w:after="150" w:line="480" w:lineRule="auto"/>
        <w:jc w:val="center"/>
        <w:outlineLvl w:val="0"/>
        <w:rPr>
          <w:rFonts w:eastAsia="Times New Roman"/>
          <w:bCs/>
          <w:kern w:val="36"/>
          <w:szCs w:val="24"/>
        </w:rPr>
      </w:pPr>
      <w:r w:rsidRPr="005360A8">
        <w:rPr>
          <w:rFonts w:eastAsia="Times New Roman"/>
          <w:bCs/>
          <w:kern w:val="36"/>
          <w:szCs w:val="24"/>
        </w:rPr>
        <w:t>Institution Affiliation</w:t>
      </w:r>
    </w:p>
    <w:p w:rsidR="002C6380" w:rsidRPr="002C6380" w:rsidRDefault="00254694" w:rsidP="002C6380">
      <w:pPr>
        <w:shd w:val="clear" w:color="auto" w:fill="FFFFFF"/>
        <w:spacing w:before="300" w:after="150" w:line="480" w:lineRule="auto"/>
        <w:jc w:val="center"/>
        <w:outlineLvl w:val="0"/>
        <w:rPr>
          <w:rFonts w:eastAsia="Times New Roman"/>
          <w:b/>
          <w:bCs/>
          <w:kern w:val="36"/>
          <w:szCs w:val="24"/>
        </w:rPr>
      </w:pPr>
    </w:p>
    <w:p w:rsidR="002C6380" w:rsidRPr="002C6380" w:rsidRDefault="00254694" w:rsidP="002C6380">
      <w:pPr>
        <w:shd w:val="clear" w:color="auto" w:fill="FFFFFF"/>
        <w:spacing w:before="300" w:after="150" w:line="480" w:lineRule="auto"/>
        <w:jc w:val="center"/>
        <w:outlineLvl w:val="0"/>
        <w:rPr>
          <w:rFonts w:eastAsia="Times New Roman"/>
          <w:b/>
          <w:bCs/>
          <w:kern w:val="36"/>
          <w:szCs w:val="24"/>
        </w:rPr>
      </w:pPr>
    </w:p>
    <w:p w:rsidR="002C6380" w:rsidRPr="002C6380" w:rsidRDefault="00254694" w:rsidP="002C6380">
      <w:pPr>
        <w:shd w:val="clear" w:color="auto" w:fill="FFFFFF"/>
        <w:spacing w:before="300" w:after="150" w:line="480" w:lineRule="auto"/>
        <w:jc w:val="center"/>
        <w:outlineLvl w:val="0"/>
        <w:rPr>
          <w:rFonts w:eastAsia="Times New Roman"/>
          <w:b/>
          <w:bCs/>
          <w:kern w:val="36"/>
          <w:szCs w:val="24"/>
        </w:rPr>
      </w:pPr>
    </w:p>
    <w:p w:rsidR="002C6380" w:rsidRPr="002C6380" w:rsidRDefault="00254694" w:rsidP="002C6380">
      <w:pPr>
        <w:shd w:val="clear" w:color="auto" w:fill="FFFFFF"/>
        <w:spacing w:before="300" w:after="150" w:line="480" w:lineRule="auto"/>
        <w:jc w:val="center"/>
        <w:outlineLvl w:val="0"/>
        <w:rPr>
          <w:rFonts w:eastAsia="Times New Roman"/>
          <w:b/>
          <w:bCs/>
          <w:kern w:val="36"/>
          <w:szCs w:val="24"/>
        </w:rPr>
      </w:pPr>
    </w:p>
    <w:p w:rsidR="002C6380" w:rsidRDefault="00254694" w:rsidP="002C6380">
      <w:pPr>
        <w:shd w:val="clear" w:color="auto" w:fill="FFFFFF"/>
        <w:spacing w:before="300" w:after="150" w:line="480" w:lineRule="auto"/>
        <w:outlineLvl w:val="0"/>
        <w:rPr>
          <w:rFonts w:eastAsia="Times New Roman"/>
          <w:b/>
          <w:bCs/>
          <w:kern w:val="36"/>
          <w:szCs w:val="24"/>
        </w:rPr>
      </w:pPr>
    </w:p>
    <w:p w:rsidR="002C6380" w:rsidRPr="002C6380" w:rsidRDefault="00254694" w:rsidP="002C6380">
      <w:pPr>
        <w:shd w:val="clear" w:color="auto" w:fill="FFFFFF"/>
        <w:spacing w:before="300" w:after="150" w:line="480" w:lineRule="auto"/>
        <w:outlineLvl w:val="0"/>
        <w:rPr>
          <w:rFonts w:eastAsia="Times New Roman"/>
          <w:b/>
          <w:bCs/>
          <w:kern w:val="36"/>
          <w:szCs w:val="24"/>
        </w:rPr>
      </w:pPr>
    </w:p>
    <w:p w:rsidR="002C6380" w:rsidRPr="002C6380" w:rsidRDefault="00254694" w:rsidP="002C6380">
      <w:pPr>
        <w:shd w:val="clear" w:color="auto" w:fill="FFFFFF"/>
        <w:spacing w:before="300" w:after="150" w:line="480" w:lineRule="auto"/>
        <w:jc w:val="center"/>
        <w:outlineLvl w:val="0"/>
        <w:rPr>
          <w:rFonts w:eastAsia="Times New Roman"/>
          <w:b/>
          <w:bCs/>
          <w:kern w:val="36"/>
          <w:szCs w:val="24"/>
        </w:rPr>
      </w:pPr>
    </w:p>
    <w:p w:rsidR="002C6380" w:rsidRPr="002C6380" w:rsidRDefault="00E85EE7" w:rsidP="002C6380">
      <w:pPr>
        <w:shd w:val="clear" w:color="auto" w:fill="FFFFFF"/>
        <w:spacing w:before="300" w:after="150" w:line="480" w:lineRule="auto"/>
        <w:jc w:val="center"/>
        <w:outlineLvl w:val="0"/>
        <w:rPr>
          <w:rFonts w:eastAsia="Times New Roman"/>
          <w:bCs/>
          <w:kern w:val="36"/>
          <w:szCs w:val="24"/>
        </w:rPr>
      </w:pPr>
      <w:r w:rsidRPr="002C6380">
        <w:rPr>
          <w:rFonts w:eastAsia="Times New Roman"/>
          <w:bCs/>
          <w:kern w:val="36"/>
          <w:szCs w:val="24"/>
        </w:rPr>
        <w:lastRenderedPageBreak/>
        <w:t>Rules of an Employer</w:t>
      </w:r>
    </w:p>
    <w:p w:rsidR="00B659F0" w:rsidRPr="002C6380" w:rsidRDefault="003F4BEE" w:rsidP="005360A8">
      <w:pPr>
        <w:spacing w:line="480" w:lineRule="auto"/>
        <w:ind w:firstLine="720"/>
        <w:rPr>
          <w:szCs w:val="24"/>
          <w:shd w:val="clear" w:color="auto" w:fill="FFFFFF"/>
        </w:rPr>
      </w:pPr>
      <w:r>
        <w:rPr>
          <w:szCs w:val="24"/>
          <w:shd w:val="clear" w:color="auto" w:fill="FFFFFF"/>
        </w:rPr>
        <w:t>E</w:t>
      </w:r>
      <w:bookmarkStart w:id="0" w:name="_GoBack"/>
      <w:bookmarkEnd w:id="0"/>
      <w:r w:rsidR="00E85EE7" w:rsidRPr="002C6380">
        <w:rPr>
          <w:szCs w:val="24"/>
          <w:shd w:val="clear" w:color="auto" w:fill="FFFFFF"/>
        </w:rPr>
        <w:t>mployees have apparent authority to act on behalf of the company in operations. Typically, corporate officers are assumed to have a legal mandate to serve and bind to a business operation. Again, since the two employees are contracting under the name of the brokerage firm, it is proper to think that they had full authority to act on behalf of the business and that the principles of the company are aware of the transaction. Therefore, rather than suing them individually, the customers can go ahead and sue the brokerage firm.</w:t>
      </w:r>
    </w:p>
    <w:p w:rsidR="00960218" w:rsidRPr="002C6380" w:rsidRDefault="00E85EE7" w:rsidP="002C6380">
      <w:pPr>
        <w:spacing w:line="480" w:lineRule="auto"/>
        <w:ind w:firstLine="720"/>
        <w:rPr>
          <w:szCs w:val="24"/>
          <w:shd w:val="clear" w:color="auto" w:fill="FFFFFF"/>
        </w:rPr>
      </w:pPr>
      <w:r w:rsidRPr="002C6380">
        <w:rPr>
          <w:szCs w:val="24"/>
          <w:shd w:val="clear" w:color="auto" w:fill="FFFFFF"/>
        </w:rPr>
        <w:t xml:space="preserve">In my opinion, the judgment on the suit against the brokerage firm will be in favor of the plaintiff (the customers). Going by the principle of vicarious liability, the heads or owners of the business are jointly responsible for the behavior or misconduct did within the operations of the employees or agents. This notion is because they are given the full mandate to represent the business, and the business heads/ employers have the legal power to control the employees. The vicarious liability also referred to as “imputed negligence” attributes to a legal doctrine that holds responsible a person that did not commit an act of negligence but has a direct legal relationship with the offender </w:t>
      </w:r>
      <w:sdt>
        <w:sdtPr>
          <w:rPr>
            <w:szCs w:val="24"/>
            <w:shd w:val="clear" w:color="auto" w:fill="FFFFFF"/>
          </w:rPr>
          <w:id w:val="-1218585176"/>
          <w:citation/>
        </w:sdtPr>
        <w:sdtContent>
          <w:r w:rsidR="00E25795" w:rsidRPr="002C6380">
            <w:rPr>
              <w:szCs w:val="24"/>
              <w:shd w:val="clear" w:color="auto" w:fill="FFFFFF"/>
            </w:rPr>
            <w:fldChar w:fldCharType="begin"/>
          </w:r>
          <w:r w:rsidRPr="002C6380">
            <w:rPr>
              <w:szCs w:val="24"/>
              <w:shd w:val="clear" w:color="auto" w:fill="FFFFFF"/>
            </w:rPr>
            <w:instrText xml:space="preserve"> CITATION Kra09 \l 1033 </w:instrText>
          </w:r>
          <w:r w:rsidR="00E25795" w:rsidRPr="002C6380">
            <w:rPr>
              <w:szCs w:val="24"/>
              <w:shd w:val="clear" w:color="auto" w:fill="FFFFFF"/>
            </w:rPr>
            <w:fldChar w:fldCharType="separate"/>
          </w:r>
          <w:r w:rsidRPr="002C6380">
            <w:rPr>
              <w:noProof/>
              <w:szCs w:val="24"/>
              <w:shd w:val="clear" w:color="auto" w:fill="FFFFFF"/>
            </w:rPr>
            <w:t>(Kraakman, 2009)</w:t>
          </w:r>
          <w:r w:rsidR="00E25795" w:rsidRPr="002C6380">
            <w:rPr>
              <w:szCs w:val="24"/>
              <w:shd w:val="clear" w:color="auto" w:fill="FFFFFF"/>
            </w:rPr>
            <w:fldChar w:fldCharType="end"/>
          </w:r>
        </w:sdtContent>
      </w:sdt>
      <w:r w:rsidRPr="002C6380">
        <w:rPr>
          <w:szCs w:val="24"/>
          <w:shd w:val="clear" w:color="auto" w:fill="FFFFFF"/>
        </w:rPr>
        <w:t>.</w:t>
      </w:r>
    </w:p>
    <w:p w:rsidR="004C7759" w:rsidRDefault="00E85EE7" w:rsidP="002C6380">
      <w:pPr>
        <w:spacing w:line="480" w:lineRule="auto"/>
        <w:ind w:firstLine="720"/>
        <w:rPr>
          <w:szCs w:val="24"/>
          <w:shd w:val="clear" w:color="auto" w:fill="FFFFFF"/>
        </w:rPr>
      </w:pPr>
      <w:r w:rsidRPr="002C6380">
        <w:rPr>
          <w:szCs w:val="24"/>
          <w:shd w:val="clear" w:color="auto" w:fill="FFFFFF"/>
        </w:rPr>
        <w:t xml:space="preserve"> In the case above, the owner of the brokerage firm is bound by the employer-employee contract and therefore will be legally held responsible for the sale of the worthless goods. More so, the two employees were acting within the scope of their employment to sell the stock. On another note, the buyers ought to get a quality product for their money. The fact that they were unsuspecting and that the stock malfunctioned deserves them a replacement or a refund.  </w:t>
      </w:r>
    </w:p>
    <w:p w:rsidR="005360A8" w:rsidRPr="002C6380" w:rsidRDefault="005360A8" w:rsidP="002C6380">
      <w:pPr>
        <w:spacing w:line="480" w:lineRule="auto"/>
        <w:ind w:firstLine="720"/>
        <w:rPr>
          <w:szCs w:val="24"/>
          <w:shd w:val="clear" w:color="auto" w:fill="FFFFFF"/>
        </w:rPr>
      </w:pPr>
    </w:p>
    <w:sdt>
      <w:sdtPr>
        <w:rPr>
          <w:rFonts w:eastAsiaTheme="minorHAnsi"/>
          <w:b w:val="0"/>
          <w:bCs w:val="0"/>
          <w:kern w:val="0"/>
          <w:sz w:val="24"/>
          <w:szCs w:val="24"/>
        </w:rPr>
        <w:id w:val="999925349"/>
        <w:docPartObj>
          <w:docPartGallery w:val="Bibliographies"/>
          <w:docPartUnique/>
        </w:docPartObj>
      </w:sdtPr>
      <w:sdtContent>
        <w:p w:rsidR="002C6380" w:rsidRPr="002C6380" w:rsidRDefault="00E85EE7" w:rsidP="002C6380">
          <w:pPr>
            <w:pStyle w:val="Heading1"/>
            <w:spacing w:line="480" w:lineRule="auto"/>
            <w:jc w:val="center"/>
            <w:rPr>
              <w:sz w:val="24"/>
              <w:szCs w:val="24"/>
            </w:rPr>
          </w:pPr>
          <w:r w:rsidRPr="002C6380">
            <w:rPr>
              <w:sz w:val="24"/>
              <w:szCs w:val="24"/>
            </w:rPr>
            <w:t>References</w:t>
          </w:r>
        </w:p>
        <w:sdt>
          <w:sdtPr>
            <w:rPr>
              <w:szCs w:val="24"/>
            </w:rPr>
            <w:id w:val="-573587230"/>
            <w:bibliography/>
          </w:sdtPr>
          <w:sdtContent>
            <w:p w:rsidR="002C6380" w:rsidRPr="002C6380" w:rsidRDefault="00E25795" w:rsidP="002C6380">
              <w:pPr>
                <w:pStyle w:val="Bibliography"/>
                <w:spacing w:line="480" w:lineRule="auto"/>
                <w:ind w:left="720" w:hanging="720"/>
                <w:rPr>
                  <w:noProof/>
                  <w:szCs w:val="24"/>
                </w:rPr>
              </w:pPr>
              <w:r w:rsidRPr="00E25795">
                <w:rPr>
                  <w:szCs w:val="24"/>
                </w:rPr>
                <w:fldChar w:fldCharType="begin"/>
              </w:r>
              <w:r w:rsidR="00E85EE7" w:rsidRPr="002C6380">
                <w:rPr>
                  <w:szCs w:val="24"/>
                </w:rPr>
                <w:instrText xml:space="preserve"> BIBLIOGRAPHY </w:instrText>
              </w:r>
              <w:r w:rsidRPr="00E25795">
                <w:rPr>
                  <w:szCs w:val="24"/>
                </w:rPr>
                <w:fldChar w:fldCharType="separate"/>
              </w:r>
              <w:r w:rsidR="00E85EE7" w:rsidRPr="002C6380">
                <w:rPr>
                  <w:noProof/>
                  <w:szCs w:val="24"/>
                </w:rPr>
                <w:t xml:space="preserve">Kraakman, R. H. (2009). </w:t>
              </w:r>
              <w:r w:rsidR="00E85EE7" w:rsidRPr="002C6380">
                <w:rPr>
                  <w:i/>
                  <w:iCs/>
                  <w:noProof/>
                  <w:szCs w:val="24"/>
                </w:rPr>
                <w:t>Vicarious and corporate civil liability.</w:t>
              </w:r>
              <w:r w:rsidR="00E85EE7" w:rsidRPr="002C6380">
                <w:rPr>
                  <w:noProof/>
                  <w:szCs w:val="24"/>
                </w:rPr>
                <w:t xml:space="preserve"> Tort law and economics.</w:t>
              </w:r>
            </w:p>
            <w:p w:rsidR="002C6380" w:rsidRPr="002C6380" w:rsidRDefault="00E25795" w:rsidP="002C6380">
              <w:pPr>
                <w:spacing w:line="480" w:lineRule="auto"/>
                <w:rPr>
                  <w:szCs w:val="24"/>
                </w:rPr>
              </w:pPr>
              <w:r w:rsidRPr="002C6380">
                <w:rPr>
                  <w:b/>
                  <w:bCs/>
                  <w:noProof/>
                  <w:szCs w:val="24"/>
                </w:rPr>
                <w:fldChar w:fldCharType="end"/>
              </w:r>
            </w:p>
          </w:sdtContent>
        </w:sdt>
      </w:sdtContent>
    </w:sdt>
    <w:p w:rsidR="004C7759" w:rsidRPr="002C6380" w:rsidRDefault="00254694" w:rsidP="002C6380">
      <w:pPr>
        <w:spacing w:line="480" w:lineRule="auto"/>
        <w:rPr>
          <w:szCs w:val="24"/>
        </w:rPr>
      </w:pPr>
    </w:p>
    <w:sectPr w:rsidR="004C7759" w:rsidRPr="002C6380" w:rsidSect="002C638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694" w:rsidRDefault="00254694">
      <w:pPr>
        <w:spacing w:after="0" w:line="240" w:lineRule="auto"/>
      </w:pPr>
      <w:r>
        <w:separator/>
      </w:r>
    </w:p>
  </w:endnote>
  <w:endnote w:type="continuationSeparator" w:id="1">
    <w:p w:rsidR="00254694" w:rsidRDefault="00254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694" w:rsidRDefault="00254694">
      <w:pPr>
        <w:spacing w:after="0" w:line="240" w:lineRule="auto"/>
      </w:pPr>
      <w:r>
        <w:separator/>
      </w:r>
    </w:p>
  </w:footnote>
  <w:footnote w:type="continuationSeparator" w:id="1">
    <w:p w:rsidR="00254694" w:rsidRDefault="002546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704563"/>
      <w:docPartObj>
        <w:docPartGallery w:val="Page Numbers (Top of Page)"/>
        <w:docPartUnique/>
      </w:docPartObj>
    </w:sdtPr>
    <w:sdtEndPr>
      <w:rPr>
        <w:noProof/>
      </w:rPr>
    </w:sdtEndPr>
    <w:sdtContent>
      <w:p w:rsidR="002C6380" w:rsidRDefault="00E85EE7">
        <w:pPr>
          <w:pStyle w:val="Header"/>
          <w:jc w:val="right"/>
        </w:pPr>
        <w:r>
          <w:t xml:space="preserve">RULES OF EMPLOYER                                                                                                                </w:t>
        </w:r>
        <w:r w:rsidR="00E25795">
          <w:fldChar w:fldCharType="begin"/>
        </w:r>
        <w:r>
          <w:instrText xml:space="preserve"> PAGE   \* MERGEFORMAT </w:instrText>
        </w:r>
        <w:r w:rsidR="00E25795">
          <w:fldChar w:fldCharType="separate"/>
        </w:r>
        <w:r w:rsidR="002B0188">
          <w:rPr>
            <w:noProof/>
          </w:rPr>
          <w:t>3</w:t>
        </w:r>
        <w:r w:rsidR="00E25795">
          <w:rPr>
            <w:noProof/>
          </w:rPr>
          <w:fldChar w:fldCharType="end"/>
        </w:r>
      </w:p>
    </w:sdtContent>
  </w:sdt>
  <w:p w:rsidR="002C6380" w:rsidRDefault="002546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380" w:rsidRDefault="00E85EE7">
    <w:pPr>
      <w:pStyle w:val="Header"/>
    </w:pPr>
    <w:r>
      <w:t>Running Head: RULES OF EMPLOYER</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35F37"/>
    <w:multiLevelType w:val="multilevel"/>
    <w:tmpl w:val="F36E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5721"/>
    <w:rsid w:val="0005524A"/>
    <w:rsid w:val="00254694"/>
    <w:rsid w:val="002B0188"/>
    <w:rsid w:val="003F4BEE"/>
    <w:rsid w:val="005360A8"/>
    <w:rsid w:val="00596894"/>
    <w:rsid w:val="00BD5721"/>
    <w:rsid w:val="00E25795"/>
    <w:rsid w:val="00E85E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95"/>
  </w:style>
  <w:style w:type="paragraph" w:styleId="Heading1">
    <w:name w:val="heading 1"/>
    <w:basedOn w:val="Normal"/>
    <w:link w:val="Heading1Char"/>
    <w:uiPriority w:val="9"/>
    <w:qFormat/>
    <w:rsid w:val="002C6380"/>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7759"/>
    <w:pPr>
      <w:spacing w:before="100" w:beforeAutospacing="1" w:after="100" w:afterAutospacing="1" w:line="240" w:lineRule="auto"/>
    </w:pPr>
    <w:rPr>
      <w:rFonts w:eastAsia="Times New Roman"/>
      <w:szCs w:val="24"/>
    </w:rPr>
  </w:style>
  <w:style w:type="character" w:customStyle="1" w:styleId="hvr">
    <w:name w:val="hvr"/>
    <w:basedOn w:val="DefaultParagraphFont"/>
    <w:rsid w:val="004C7759"/>
  </w:style>
  <w:style w:type="character" w:styleId="Hyperlink">
    <w:name w:val="Hyperlink"/>
    <w:basedOn w:val="DefaultParagraphFont"/>
    <w:uiPriority w:val="99"/>
    <w:semiHidden/>
    <w:unhideWhenUsed/>
    <w:rsid w:val="004C7759"/>
    <w:rPr>
      <w:color w:val="0000FF"/>
      <w:u w:val="single"/>
    </w:rPr>
  </w:style>
  <w:style w:type="character" w:customStyle="1" w:styleId="Heading1Char">
    <w:name w:val="Heading 1 Char"/>
    <w:basedOn w:val="DefaultParagraphFont"/>
    <w:link w:val="Heading1"/>
    <w:uiPriority w:val="9"/>
    <w:rsid w:val="002C6380"/>
    <w:rPr>
      <w:rFonts w:eastAsia="Times New Roman"/>
      <w:b/>
      <w:bCs/>
      <w:kern w:val="36"/>
      <w:sz w:val="48"/>
      <w:szCs w:val="48"/>
    </w:rPr>
  </w:style>
  <w:style w:type="paragraph" w:styleId="Bibliography">
    <w:name w:val="Bibliography"/>
    <w:basedOn w:val="Normal"/>
    <w:next w:val="Normal"/>
    <w:uiPriority w:val="37"/>
    <w:unhideWhenUsed/>
    <w:rsid w:val="002C6380"/>
  </w:style>
  <w:style w:type="paragraph" w:styleId="Header">
    <w:name w:val="header"/>
    <w:basedOn w:val="Normal"/>
    <w:link w:val="HeaderChar"/>
    <w:uiPriority w:val="99"/>
    <w:unhideWhenUsed/>
    <w:rsid w:val="002C6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380"/>
  </w:style>
  <w:style w:type="paragraph" w:styleId="Footer">
    <w:name w:val="footer"/>
    <w:basedOn w:val="Normal"/>
    <w:link w:val="FooterChar"/>
    <w:uiPriority w:val="99"/>
    <w:unhideWhenUsed/>
    <w:rsid w:val="002C6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38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E25795"/>
    <w:pPr>
      <w:spacing w:line="240" w:lineRule="auto"/>
    </w:pPr>
    <w:rPr>
      <w:sz w:val="20"/>
      <w:szCs w:val="20"/>
    </w:rPr>
  </w:style>
  <w:style w:type="character" w:customStyle="1" w:styleId="CommentTextChar">
    <w:name w:val="Comment Text Char"/>
    <w:basedOn w:val="DefaultParagraphFont"/>
    <w:link w:val="CommentText"/>
    <w:uiPriority w:val="99"/>
    <w:semiHidden/>
    <w:rsid w:val="00E25795"/>
    <w:rPr>
      <w:sz w:val="20"/>
      <w:szCs w:val="20"/>
    </w:rPr>
  </w:style>
  <w:style w:type="paragraph" w:styleId="BalloonText">
    <w:name w:val="Balloon Text"/>
    <w:basedOn w:val="Normal"/>
    <w:link w:val="BalloonTextChar"/>
    <w:uiPriority w:val="99"/>
    <w:semiHidden/>
    <w:unhideWhenUsed/>
    <w:rsid w:val="00536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0A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Kra09</b:Tag>
    <b:SourceType>Book</b:SourceType>
    <b:Guid>{4DBF27F5-8355-411A-AC84-2624F006EE57}</b:Guid>
    <b:Title>Vicarious and corporate civil liability</b:Title>
    <b:Year>2009</b:Year>
    <b:Publisher>Tort law and economics</b:Publisher>
    <b:Author>
      <b:Author>
        <b:NameList>
          <b:Person>
            <b:Last>Kraakman</b:Last>
            <b:Middle>H</b:Middle>
            <b:First>R</b:First>
          </b:Person>
        </b:NameList>
      </b:Author>
    </b:Author>
    <b:RefOrder>1</b:RefOrder>
  </b:Source>
</b:Sources>
</file>

<file path=customXml/itemProps1.xml><?xml version="1.0" encoding="utf-8"?>
<ds:datastoreItem xmlns:ds="http://schemas.openxmlformats.org/officeDocument/2006/customXml" ds:itemID="{4E4DF56D-3E72-4D4E-827B-6FAA089A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Marl</cp:lastModifiedBy>
  <cp:revision>2</cp:revision>
  <dcterms:created xsi:type="dcterms:W3CDTF">2017-11-28T07:56:00Z</dcterms:created>
  <dcterms:modified xsi:type="dcterms:W3CDTF">2017-11-28T07:56:00Z</dcterms:modified>
</cp:coreProperties>
</file>