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174" w:rsidRDefault="00F3247D">
      <w:pPr>
        <w:widowControl w:val="0"/>
        <w:autoSpaceDE w:val="0"/>
        <w:autoSpaceDN w:val="0"/>
        <w:adjustRightInd w:val="0"/>
        <w:spacing w:before="100" w:after="0" w:line="240" w:lineRule="auto"/>
        <w:jc w:val="center"/>
        <w:rPr>
          <w:rFonts w:ascii="Georgia" w:hAnsi="Georgia" w:cs="Georgia"/>
          <w:color w:val="000000"/>
          <w:sz w:val="20"/>
          <w:szCs w:val="20"/>
        </w:rPr>
      </w:pPr>
      <w:bookmarkStart w:id="0" w:name="_GoBack"/>
      <w:bookmarkEnd w:id="0"/>
      <w:r>
        <w:rPr>
          <w:rFonts w:ascii="Georgia" w:hAnsi="Georgia" w:cs="Georgia"/>
          <w:color w:val="000000"/>
          <w:sz w:val="20"/>
          <w:szCs w:val="20"/>
        </w:rPr>
        <w:t>353 Md. 544</w:t>
      </w:r>
    </w:p>
    <w:p w:rsidR="00833174" w:rsidRDefault="00F3247D">
      <w:pPr>
        <w:widowControl w:val="0"/>
        <w:autoSpaceDE w:val="0"/>
        <w:autoSpaceDN w:val="0"/>
        <w:adjustRightInd w:val="0"/>
        <w:spacing w:after="0" w:line="240" w:lineRule="auto"/>
        <w:jc w:val="center"/>
        <w:rPr>
          <w:rFonts w:ascii="Georgia" w:hAnsi="Georgia" w:cs="Georgia"/>
          <w:color w:val="000000"/>
          <w:sz w:val="20"/>
          <w:szCs w:val="20"/>
        </w:rPr>
      </w:pPr>
      <w:r>
        <w:rPr>
          <w:rFonts w:ascii="Georgia" w:hAnsi="Georgia" w:cs="Georgia"/>
          <w:color w:val="000000"/>
          <w:sz w:val="20"/>
          <w:szCs w:val="20"/>
        </w:rPr>
        <w:t>Court of Appeals of Maryland.</w:t>
      </w:r>
    </w:p>
    <w:p w:rsidR="00833174" w:rsidRDefault="00F3247D">
      <w:pPr>
        <w:widowControl w:val="0"/>
        <w:autoSpaceDE w:val="0"/>
        <w:autoSpaceDN w:val="0"/>
        <w:adjustRightInd w:val="0"/>
        <w:spacing w:before="200" w:after="0" w:line="240" w:lineRule="auto"/>
        <w:ind w:left="100" w:right="100"/>
        <w:jc w:val="center"/>
        <w:rPr>
          <w:rFonts w:ascii="Georgia" w:hAnsi="Georgia" w:cs="Georgia"/>
          <w:color w:val="252525"/>
          <w:sz w:val="20"/>
          <w:szCs w:val="20"/>
        </w:rPr>
      </w:pPr>
      <w:r>
        <w:rPr>
          <w:rFonts w:ascii="Georgia" w:hAnsi="Georgia" w:cs="Georgia"/>
          <w:color w:val="252525"/>
          <w:sz w:val="20"/>
          <w:szCs w:val="20"/>
        </w:rPr>
        <w:t>Vincent N. VALENTINE, et al.</w:t>
      </w:r>
    </w:p>
    <w:p w:rsidR="00833174" w:rsidRDefault="00F3247D">
      <w:pPr>
        <w:widowControl w:val="0"/>
        <w:autoSpaceDE w:val="0"/>
        <w:autoSpaceDN w:val="0"/>
        <w:adjustRightInd w:val="0"/>
        <w:spacing w:after="0" w:line="240" w:lineRule="auto"/>
        <w:ind w:left="100" w:right="100"/>
        <w:jc w:val="center"/>
        <w:rPr>
          <w:rFonts w:ascii="Georgia" w:hAnsi="Georgia" w:cs="Georgia"/>
          <w:color w:val="252525"/>
          <w:sz w:val="20"/>
          <w:szCs w:val="20"/>
        </w:rPr>
      </w:pPr>
      <w:r>
        <w:rPr>
          <w:rFonts w:ascii="Georgia" w:hAnsi="Georgia" w:cs="Georgia"/>
          <w:color w:val="252525"/>
          <w:sz w:val="20"/>
          <w:szCs w:val="20"/>
        </w:rPr>
        <w:t>v.</w:t>
      </w:r>
    </w:p>
    <w:p w:rsidR="00833174" w:rsidRDefault="00F3247D">
      <w:pPr>
        <w:widowControl w:val="0"/>
        <w:autoSpaceDE w:val="0"/>
        <w:autoSpaceDN w:val="0"/>
        <w:adjustRightInd w:val="0"/>
        <w:spacing w:line="240" w:lineRule="auto"/>
        <w:ind w:left="100" w:right="100"/>
        <w:jc w:val="center"/>
        <w:rPr>
          <w:rFonts w:ascii="Georgia" w:hAnsi="Georgia" w:cs="Georgia"/>
          <w:color w:val="252525"/>
          <w:sz w:val="20"/>
          <w:szCs w:val="20"/>
        </w:rPr>
      </w:pPr>
      <w:r>
        <w:rPr>
          <w:rFonts w:ascii="Georgia" w:hAnsi="Georgia" w:cs="Georgia"/>
          <w:color w:val="252525"/>
          <w:sz w:val="20"/>
          <w:szCs w:val="20"/>
        </w:rPr>
        <w:t>ON TARGET, INC.</w:t>
      </w:r>
    </w:p>
    <w:p w:rsidR="00833174" w:rsidRDefault="00F3247D">
      <w:pPr>
        <w:widowControl w:val="0"/>
        <w:autoSpaceDE w:val="0"/>
        <w:autoSpaceDN w:val="0"/>
        <w:adjustRightInd w:val="0"/>
        <w:spacing w:line="240" w:lineRule="auto"/>
        <w:ind w:left="200"/>
        <w:jc w:val="center"/>
        <w:rPr>
          <w:rFonts w:ascii="Georgia" w:hAnsi="Georgia" w:cs="Georgia"/>
          <w:color w:val="000000"/>
          <w:sz w:val="20"/>
          <w:szCs w:val="20"/>
        </w:rPr>
      </w:pPr>
      <w:r>
        <w:rPr>
          <w:rFonts w:ascii="Georgia" w:hAnsi="Georgia" w:cs="Georgia"/>
          <w:color w:val="000000"/>
          <w:sz w:val="20"/>
          <w:szCs w:val="20"/>
        </w:rPr>
        <w:t>April 19, 1999.</w:t>
      </w:r>
    </w:p>
    <w:p w:rsidR="00833174" w:rsidRDefault="00F3247D">
      <w:pPr>
        <w:widowControl w:val="0"/>
        <w:autoSpaceDE w:val="0"/>
        <w:autoSpaceDN w:val="0"/>
        <w:adjustRightInd w:val="0"/>
        <w:spacing w:before="200" w:after="0" w:line="240" w:lineRule="auto"/>
        <w:jc w:val="both"/>
        <w:rPr>
          <w:rFonts w:ascii="Times New Roman" w:hAnsi="Times New Roman" w:cs="Times New Roman"/>
          <w:b/>
          <w:bCs/>
          <w:color w:val="252525"/>
          <w:sz w:val="20"/>
          <w:szCs w:val="20"/>
        </w:rPr>
      </w:pPr>
      <w:bookmarkStart w:id="1" w:name="co_opinion_1"/>
      <w:bookmarkEnd w:id="1"/>
      <w:r>
        <w:rPr>
          <w:rFonts w:ascii="Times New Roman" w:hAnsi="Times New Roman" w:cs="Times New Roman"/>
          <w:b/>
          <w:bCs/>
          <w:color w:val="252525"/>
          <w:sz w:val="20"/>
          <w:szCs w:val="20"/>
        </w:rPr>
        <w:t>Opinion</w:t>
      </w:r>
    </w:p>
    <w:p w:rsidR="00833174" w:rsidRDefault="00E80489">
      <w:pPr>
        <w:widowControl w:val="0"/>
        <w:autoSpaceDE w:val="0"/>
        <w:autoSpaceDN w:val="0"/>
        <w:adjustRightInd w:val="0"/>
        <w:spacing w:before="200" w:line="240" w:lineRule="auto"/>
        <w:jc w:val="both"/>
        <w:rPr>
          <w:rFonts w:ascii="Times New Roman" w:hAnsi="Times New Roman" w:cs="Times New Roman"/>
          <w:color w:val="000000"/>
          <w:sz w:val="20"/>
          <w:szCs w:val="20"/>
        </w:rPr>
      </w:pPr>
      <w:hyperlink r:id="rId7" w:history="1">
        <w:r w:rsidR="00F3247D">
          <w:rPr>
            <w:rFonts w:ascii="Times New Roman" w:hAnsi="Times New Roman" w:cs="Times New Roman"/>
            <w:color w:val="0000FF"/>
            <w:sz w:val="20"/>
            <w:szCs w:val="20"/>
          </w:rPr>
          <w:t>KARWACKI</w:t>
        </w:r>
      </w:hyperlink>
      <w:r w:rsidR="00F3247D">
        <w:rPr>
          <w:rFonts w:ascii="Times New Roman" w:hAnsi="Times New Roman" w:cs="Times New Roman"/>
          <w:color w:val="000000"/>
          <w:sz w:val="20"/>
          <w:szCs w:val="20"/>
        </w:rPr>
        <w:t>, Judge, Retired, Specially Assigned.</w:t>
      </w:r>
    </w:p>
    <w:p w:rsidR="00833174" w:rsidRDefault="00833174">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2" w:name="co_anchor_I2d6ddb06425d11df9b8c850332338"/>
      <w:bookmarkEnd w:id="2"/>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We issued a writ of certiorari in this case to answer the question of what, if any, tort duty a gun store owner owes to third parties to exercise reasonable care in the display and sale of handguns to prevent the theft and the illegal use of the </w:t>
      </w:r>
      <w:bookmarkStart w:id="3" w:name="co_pp_sp_536_547_1"/>
      <w:bookmarkEnd w:id="3"/>
      <w:r>
        <w:rPr>
          <w:rFonts w:ascii="Times New Roman" w:hAnsi="Times New Roman" w:cs="Times New Roman"/>
          <w:b/>
          <w:bCs/>
          <w:color w:val="000000"/>
          <w:sz w:val="20"/>
          <w:szCs w:val="20"/>
        </w:rPr>
        <w:t>*547</w:t>
      </w:r>
      <w:r>
        <w:rPr>
          <w:rFonts w:ascii="Times New Roman" w:hAnsi="Times New Roman" w:cs="Times New Roman"/>
          <w:color w:val="000000"/>
          <w:sz w:val="20"/>
          <w:szCs w:val="20"/>
        </w:rPr>
        <w:t xml:space="preserve"> handguns by others against third parties. Confining our analysis to the well pleaded facts in the complaint filed by petitioner in the instant case, the issue is properly limited to the determination of whether respondent owed a duty to the petitioner’s decedent. We hold that such a tort duty is not cognizable under those facts and consequently that the trial court properly granted respondent’s motion to dismiss the complaint.</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833174">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4" w:name="co_anchor_I2d6ddb07425d11df9b8c850332338"/>
      <w:bookmarkEnd w:id="4"/>
    </w:p>
    <w:p w:rsidR="00833174" w:rsidRDefault="00F3247D">
      <w:pPr>
        <w:widowControl w:val="0"/>
        <w:autoSpaceDE w:val="0"/>
        <w:autoSpaceDN w:val="0"/>
        <w:adjustRightInd w:val="0"/>
        <w:spacing w:before="40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On July 17, 1993, Edward Wendell McLeod and a confederate stole several handguns from On Target, Inc., the respondent, a gun retailer located in Anne Arundel County. On September 26, 1993, Joanne Valentine was murdered outside of her home in Anne Arundel County by an unknown assailant who shot her with one of the guns stolen from On Target, Inc., on the previous July 17th. Vincent Valentine, the petitioner, as personal representative of the Estate of Joanne Valentine, and as surviving spouse and next friend of Vincent N. Valentine II and Nicholas Paul Valentine, surviving minor children of the deceased, filed suit in the Circuit Court for Anne Arundel County against the respondent to recover damages for her wrongful death.</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complaint sought damages from the respondent based on a claim of negligence. In his complaint petitioner asserted that respondent owed a duty to “Joanne Valentine and to all other persons situate in or near Anne Arundel County, to exercise reasonable care in the display of handguns held out to the public for sale to prevent theft and illegal use of the handguns.” (Significantly, the complaint does not describe how the handguns were displayed or what could have been done by respondent’s agents to prevent the theft). The petitioner further averred that respondent breached this duty by failing to (1) properly </w:t>
      </w:r>
      <w:r>
        <w:rPr>
          <w:rFonts w:ascii="Times New Roman" w:hAnsi="Times New Roman" w:cs="Times New Roman"/>
          <w:color w:val="000000"/>
          <w:sz w:val="20"/>
          <w:szCs w:val="20"/>
        </w:rPr>
        <w:lastRenderedPageBreak/>
        <w:t xml:space="preserve">train and supervise its employees to prevent theft of the handguns, (2) properly supervise customers at a time when the store was open to members of the general public for the sale of handguns, (3) adequately keep watch over the handguns and install adequate security devices </w:t>
      </w:r>
      <w:bookmarkStart w:id="5" w:name="co_pp_sp_536_548_1"/>
      <w:bookmarkEnd w:id="5"/>
      <w:r>
        <w:rPr>
          <w:rFonts w:ascii="Times New Roman" w:hAnsi="Times New Roman" w:cs="Times New Roman"/>
          <w:b/>
          <w:bCs/>
          <w:color w:val="000000"/>
          <w:sz w:val="20"/>
          <w:szCs w:val="20"/>
        </w:rPr>
        <w:t>*548</w:t>
      </w:r>
      <w:r>
        <w:rPr>
          <w:rFonts w:ascii="Times New Roman" w:hAnsi="Times New Roman" w:cs="Times New Roman"/>
          <w:color w:val="000000"/>
          <w:sz w:val="20"/>
          <w:szCs w:val="20"/>
        </w:rPr>
        <w:t xml:space="preserve"> to deter, or detect, the theft of handguns, (4) properly secure the handguns and store them in a display case to safeguard them from theft, (5) interrupt the theft of the handguns, (6) notice the theft of the handguns and notify law enforcement authorities in a timely fashion, and (7) failed to warn the community of the theft of the handguns in a timely fashion.</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6" w:name="co_pp_sp_162_949_1"/>
      <w:bookmarkEnd w:id="6"/>
      <w:r>
        <w:rPr>
          <w:rFonts w:ascii="Times New Roman" w:hAnsi="Times New Roman" w:cs="Times New Roman"/>
          <w:b/>
          <w:bCs/>
          <w:color w:val="000000"/>
          <w:sz w:val="20"/>
          <w:szCs w:val="20"/>
        </w:rPr>
        <w:t>**949</w:t>
      </w:r>
      <w:r>
        <w:rPr>
          <w:rFonts w:ascii="Times New Roman" w:hAnsi="Times New Roman" w:cs="Times New Roman"/>
          <w:color w:val="000000"/>
          <w:sz w:val="20"/>
          <w:szCs w:val="20"/>
        </w:rPr>
        <w:t xml:space="preserve"> The respondent filed a motion to dismiss pursuant to </w:t>
      </w:r>
      <w:hyperlink r:id="rId8" w:history="1">
        <w:r>
          <w:rPr>
            <w:rFonts w:ascii="Times New Roman" w:hAnsi="Times New Roman" w:cs="Times New Roman"/>
            <w:color w:val="0000FF"/>
            <w:sz w:val="20"/>
            <w:szCs w:val="20"/>
          </w:rPr>
          <w:t>Maryland Rule 2-322(b)(2)</w:t>
        </w:r>
      </w:hyperlink>
      <w:r>
        <w:rPr>
          <w:rFonts w:ascii="Times New Roman" w:hAnsi="Times New Roman" w:cs="Times New Roman"/>
          <w:color w:val="000000"/>
          <w:sz w:val="20"/>
          <w:szCs w:val="20"/>
        </w:rPr>
        <w:t xml:space="preserve"> based on a failure to state a claim upon which relief could be granted. After conducting a hearing, the trial court, without stating any reasons, granted the motion to dismiss. The petitioner noted a timely appeal to the Court of Special Appeals and that court affirmed the trial court’s dismissal. </w:t>
      </w:r>
      <w:hyperlink r:id="rId9" w:history="1">
        <w:r>
          <w:rPr>
            <w:rFonts w:ascii="Times New Roman" w:hAnsi="Times New Roman" w:cs="Times New Roman"/>
            <w:i/>
            <w:iCs/>
            <w:color w:val="0000FF"/>
            <w:sz w:val="20"/>
            <w:szCs w:val="20"/>
          </w:rPr>
          <w:t>Valentine v. On Target,</w:t>
        </w:r>
        <w:r>
          <w:rPr>
            <w:rFonts w:ascii="Times New Roman" w:hAnsi="Times New Roman" w:cs="Times New Roman"/>
            <w:color w:val="0000FF"/>
            <w:sz w:val="20"/>
            <w:szCs w:val="20"/>
          </w:rPr>
          <w:t xml:space="preserve"> 112 Md.App. 679, 686 A.2d 636 (1996)</w:t>
        </w:r>
      </w:hyperlink>
      <w:r>
        <w:rPr>
          <w:rFonts w:ascii="Times New Roman" w:hAnsi="Times New Roman" w:cs="Times New Roman"/>
          <w:color w:val="000000"/>
          <w:sz w:val="20"/>
          <w:szCs w:val="20"/>
        </w:rPr>
        <w:t>. Then Chief Judge Wilner writing for the intermediate appellate court, reasoned that the trial court was correct for alternative reasons (1) that the respondent did not owe a duty to the petitioner’s decedent under the well pleaded facts of the complaint or (2) even if the failure to prevent the theft of the guns was a breach of some duty, it was not the proximate cause of death of the petitioner’s decedent.</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833174">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7" w:name="co_anchor_I2d6ddb08425d11df9b8c850332338"/>
      <w:bookmarkEnd w:id="7"/>
    </w:p>
    <w:p w:rsidR="00833174" w:rsidRDefault="00F3247D">
      <w:pPr>
        <w:widowControl w:val="0"/>
        <w:autoSpaceDE w:val="0"/>
        <w:autoSpaceDN w:val="0"/>
        <w:adjustRightInd w:val="0"/>
        <w:spacing w:before="40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II.</w:t>
      </w:r>
    </w:p>
    <w:p w:rsidR="00833174" w:rsidRDefault="00E80489">
      <w:pPr>
        <w:widowControl w:val="0"/>
        <w:autoSpaceDE w:val="0"/>
        <w:autoSpaceDN w:val="0"/>
        <w:adjustRightInd w:val="0"/>
        <w:spacing w:after="0" w:line="240" w:lineRule="auto"/>
        <w:jc w:val="both"/>
        <w:rPr>
          <w:rFonts w:ascii="Times New Roman" w:hAnsi="Times New Roman" w:cs="Times New Roman"/>
          <w:color w:val="000000"/>
          <w:sz w:val="20"/>
          <w:szCs w:val="20"/>
        </w:rPr>
      </w:pPr>
      <w:hyperlink w:anchor="co_anchor_F11999103761_1" w:history="1">
        <w:r w:rsidR="00F3247D">
          <w:rPr>
            <w:rFonts w:ascii="Times New Roman" w:hAnsi="Times New Roman" w:cs="Times New Roman"/>
            <w:b/>
            <w:bCs/>
            <w:color w:val="252525"/>
            <w:sz w:val="20"/>
            <w:szCs w:val="20"/>
            <w:vertAlign w:val="superscript"/>
          </w:rPr>
          <w:t>[1]</w:t>
        </w:r>
      </w:hyperlink>
      <w:bookmarkStart w:id="8" w:name="co_anchor_B11999103761_1"/>
      <w:bookmarkEnd w:id="8"/>
      <w:r w:rsidR="00F3247D">
        <w:rPr>
          <w:rFonts w:ascii="Times New Roman" w:hAnsi="Times New Roman" w:cs="Times New Roman"/>
          <w:color w:val="000000"/>
          <w:sz w:val="20"/>
          <w:szCs w:val="20"/>
        </w:rPr>
        <w:t xml:space="preserve"> When considering an appeal that arises as the result of the trial court’s granting a motion to dismiss, as opposed to the granting of summary judgment or judgment entered after trial, the Court will assume the truth of all well-pleaded facts and any reasonable inferences that can be properly drawn therefrom; however, we do not consider “merely conclusory charges.” </w:t>
      </w:r>
      <w:hyperlink r:id="rId10" w:anchor="co_pp_sp_162_331" w:history="1">
        <w:r w:rsidR="00F3247D">
          <w:rPr>
            <w:rFonts w:ascii="Times New Roman" w:hAnsi="Times New Roman" w:cs="Times New Roman"/>
            <w:i/>
            <w:iCs/>
            <w:color w:val="0000FF"/>
            <w:sz w:val="20"/>
            <w:szCs w:val="20"/>
          </w:rPr>
          <w:t>Faya v. Almaraz,</w:t>
        </w:r>
        <w:r w:rsidR="00F3247D">
          <w:rPr>
            <w:rFonts w:ascii="Times New Roman" w:hAnsi="Times New Roman" w:cs="Times New Roman"/>
            <w:color w:val="0000FF"/>
            <w:sz w:val="20"/>
            <w:szCs w:val="20"/>
          </w:rPr>
          <w:t xml:space="preserve"> 329 Md. 435, 443-44, 620 A.2d 327, 331 (1993)</w:t>
        </w:r>
      </w:hyperlink>
      <w:r w:rsidR="00F3247D">
        <w:rPr>
          <w:rFonts w:ascii="Times New Roman" w:hAnsi="Times New Roman" w:cs="Times New Roman"/>
          <w:color w:val="000000"/>
          <w:sz w:val="20"/>
          <w:szCs w:val="20"/>
        </w:rPr>
        <w:t xml:space="preserve">, </w:t>
      </w:r>
      <w:r w:rsidR="00F3247D">
        <w:rPr>
          <w:rFonts w:ascii="Times New Roman" w:hAnsi="Times New Roman" w:cs="Times New Roman"/>
          <w:i/>
          <w:iCs/>
          <w:color w:val="000000"/>
          <w:sz w:val="20"/>
          <w:szCs w:val="20"/>
        </w:rPr>
        <w:t xml:space="preserve">citing </w:t>
      </w:r>
      <w:hyperlink r:id="rId11" w:anchor="co_pp_sp_162_728" w:history="1">
        <w:r w:rsidR="00F3247D">
          <w:rPr>
            <w:rFonts w:ascii="Times New Roman" w:hAnsi="Times New Roman" w:cs="Times New Roman"/>
            <w:i/>
            <w:iCs/>
            <w:color w:val="0000FF"/>
            <w:sz w:val="20"/>
            <w:szCs w:val="20"/>
          </w:rPr>
          <w:t>Berman v. Karvounis,</w:t>
        </w:r>
        <w:r w:rsidR="00F3247D">
          <w:rPr>
            <w:rFonts w:ascii="Times New Roman" w:hAnsi="Times New Roman" w:cs="Times New Roman"/>
            <w:color w:val="0000FF"/>
            <w:sz w:val="20"/>
            <w:szCs w:val="20"/>
          </w:rPr>
          <w:t xml:space="preserve"> 308 Md. 259, 264-265, 518 A.2d 726, 728-29 (1987)</w:t>
        </w:r>
      </w:hyperlink>
      <w:r w:rsidR="00F3247D">
        <w:rPr>
          <w:rFonts w:ascii="Times New Roman" w:hAnsi="Times New Roman" w:cs="Times New Roman"/>
          <w:color w:val="000000"/>
          <w:sz w:val="20"/>
          <w:szCs w:val="20"/>
        </w:rPr>
        <w:t xml:space="preserve">. The granting of a motion to dismiss is proper when, even if the facts and allegations as set forth in the complaint were proven to be true, the complaint would nevertheless fail to state a claim upon which relief could be granted. </w:t>
      </w:r>
      <w:r w:rsidR="00F3247D">
        <w:rPr>
          <w:rFonts w:ascii="Times New Roman" w:hAnsi="Times New Roman" w:cs="Times New Roman"/>
          <w:i/>
          <w:iCs/>
          <w:color w:val="000000"/>
          <w:sz w:val="20"/>
          <w:szCs w:val="20"/>
        </w:rPr>
        <w:t xml:space="preserve">Id. </w:t>
      </w:r>
      <w:r w:rsidR="00F3247D">
        <w:rPr>
          <w:rFonts w:ascii="Times New Roman" w:hAnsi="Times New Roman" w:cs="Times New Roman"/>
          <w:color w:val="000000"/>
          <w:sz w:val="20"/>
          <w:szCs w:val="20"/>
        </w:rPr>
        <w:t xml:space="preserve">at 443, </w:t>
      </w:r>
      <w:hyperlink r:id="rId12" w:history="1">
        <w:r w:rsidR="00F3247D">
          <w:rPr>
            <w:rFonts w:ascii="Times New Roman" w:hAnsi="Times New Roman" w:cs="Times New Roman"/>
            <w:color w:val="0000FF"/>
            <w:sz w:val="20"/>
            <w:szCs w:val="20"/>
          </w:rPr>
          <w:t>620 A.2d 327.</w:t>
        </w:r>
      </w:hyperlink>
      <w:r w:rsidR="00F3247D">
        <w:rPr>
          <w:rFonts w:ascii="Times New Roman" w:hAnsi="Times New Roman" w:cs="Times New Roman"/>
          <w:color w:val="000000"/>
          <w:sz w:val="20"/>
          <w:szCs w:val="20"/>
        </w:rPr>
        <w:t xml:space="preserve"> As the Court of Special Appeals noted, because the trial court did not state its reasons for granting respondent’s motion to dismiss, it will be affirmed if the record reveals any legally </w:t>
      </w:r>
      <w:bookmarkStart w:id="9" w:name="co_pp_sp_536_549_1"/>
      <w:bookmarkEnd w:id="9"/>
      <w:r w:rsidR="00F3247D">
        <w:rPr>
          <w:rFonts w:ascii="Times New Roman" w:hAnsi="Times New Roman" w:cs="Times New Roman"/>
          <w:b/>
          <w:bCs/>
          <w:color w:val="000000"/>
          <w:sz w:val="20"/>
          <w:szCs w:val="20"/>
        </w:rPr>
        <w:t>*549</w:t>
      </w:r>
      <w:r w:rsidR="00F3247D">
        <w:rPr>
          <w:rFonts w:ascii="Times New Roman" w:hAnsi="Times New Roman" w:cs="Times New Roman"/>
          <w:color w:val="000000"/>
          <w:sz w:val="20"/>
          <w:szCs w:val="20"/>
        </w:rPr>
        <w:t xml:space="preserve"> sound reason for the decision. </w:t>
      </w:r>
      <w:hyperlink r:id="rId13" w:anchor="co_pp_sp_162_637" w:history="1">
        <w:r w:rsidR="00F3247D">
          <w:rPr>
            <w:rFonts w:ascii="Times New Roman" w:hAnsi="Times New Roman" w:cs="Times New Roman"/>
            <w:i/>
            <w:iCs/>
            <w:color w:val="0000FF"/>
            <w:sz w:val="20"/>
            <w:szCs w:val="20"/>
          </w:rPr>
          <w:t>Valentine v. On Target,</w:t>
        </w:r>
        <w:r w:rsidR="00F3247D">
          <w:rPr>
            <w:rFonts w:ascii="Times New Roman" w:hAnsi="Times New Roman" w:cs="Times New Roman"/>
            <w:color w:val="0000FF"/>
            <w:sz w:val="20"/>
            <w:szCs w:val="20"/>
          </w:rPr>
          <w:t xml:space="preserve"> 112 Md.App. 679, 682, 686 A.2d 636, 637 (1996)</w:t>
        </w:r>
      </w:hyperlink>
      <w:r w:rsidR="00F3247D">
        <w:rPr>
          <w:rFonts w:ascii="Times New Roman" w:hAnsi="Times New Roman" w:cs="Times New Roman"/>
          <w:color w:val="000000"/>
          <w:sz w:val="20"/>
          <w:szCs w:val="20"/>
        </w:rPr>
        <w:t>.</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833174">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10" w:name="co_anchor_I2d6ddb09425d11df9b8c850332338"/>
      <w:bookmarkEnd w:id="10"/>
    </w:p>
    <w:p w:rsidR="00833174" w:rsidRDefault="00F3247D">
      <w:pPr>
        <w:widowControl w:val="0"/>
        <w:autoSpaceDE w:val="0"/>
        <w:autoSpaceDN w:val="0"/>
        <w:adjustRightInd w:val="0"/>
        <w:spacing w:before="40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III.</w:t>
      </w:r>
    </w:p>
    <w:p w:rsidR="00833174" w:rsidRDefault="00E80489">
      <w:pPr>
        <w:widowControl w:val="0"/>
        <w:autoSpaceDE w:val="0"/>
        <w:autoSpaceDN w:val="0"/>
        <w:adjustRightInd w:val="0"/>
        <w:spacing w:after="0" w:line="240" w:lineRule="auto"/>
        <w:jc w:val="both"/>
        <w:rPr>
          <w:rFonts w:ascii="Times New Roman" w:hAnsi="Times New Roman" w:cs="Times New Roman"/>
          <w:i/>
          <w:iCs/>
          <w:color w:val="000000"/>
          <w:sz w:val="20"/>
          <w:szCs w:val="20"/>
        </w:rPr>
      </w:pPr>
      <w:hyperlink w:anchor="co_anchor_F21999103761_1" w:history="1">
        <w:r w:rsidR="00F3247D">
          <w:rPr>
            <w:rFonts w:ascii="Times New Roman" w:hAnsi="Times New Roman" w:cs="Times New Roman"/>
            <w:b/>
            <w:bCs/>
            <w:color w:val="252525"/>
            <w:sz w:val="20"/>
            <w:szCs w:val="20"/>
            <w:vertAlign w:val="superscript"/>
          </w:rPr>
          <w:t>[2]</w:t>
        </w:r>
      </w:hyperlink>
      <w:bookmarkStart w:id="11" w:name="co_anchor_B21999103761_1"/>
      <w:bookmarkEnd w:id="11"/>
      <w:r>
        <w:fldChar w:fldCharType="begin"/>
      </w:r>
      <w:r>
        <w:instrText>HYPERLINK \l "co_anchor_F31999103761_1"</w:instrText>
      </w:r>
      <w:r>
        <w:fldChar w:fldCharType="separate"/>
      </w:r>
      <w:r w:rsidR="00F3247D">
        <w:rPr>
          <w:rFonts w:ascii="Times New Roman" w:hAnsi="Times New Roman" w:cs="Times New Roman"/>
          <w:b/>
          <w:bCs/>
          <w:color w:val="252525"/>
          <w:sz w:val="20"/>
          <w:szCs w:val="20"/>
          <w:vertAlign w:val="superscript"/>
        </w:rPr>
        <w:t>[3]</w:t>
      </w:r>
      <w:r>
        <w:fldChar w:fldCharType="end"/>
      </w:r>
      <w:bookmarkStart w:id="12" w:name="co_anchor_B31999103761_1"/>
      <w:bookmarkEnd w:id="12"/>
      <w:r w:rsidR="00F3247D">
        <w:rPr>
          <w:rFonts w:ascii="Times New Roman" w:hAnsi="Times New Roman" w:cs="Times New Roman"/>
          <w:color w:val="000000"/>
          <w:sz w:val="20"/>
          <w:szCs w:val="20"/>
        </w:rPr>
        <w:t xml:space="preserve"> To maintain an action in negligence, the plaintiff must assert in the complaint the following elements: “(1) that the defendant was under a duty to protect the plaintiff from injury, (2) that the defendant breached that duty, (3) that the plaintiff suffered actual injury or loss, and (4) that the loss or injury proximately resulted from the defendant’s breach of the duty.” </w:t>
      </w:r>
      <w:r w:rsidR="00F3247D">
        <w:rPr>
          <w:rFonts w:ascii="Times New Roman" w:hAnsi="Times New Roman" w:cs="Times New Roman"/>
          <w:i/>
          <w:iCs/>
          <w:color w:val="000000"/>
          <w:sz w:val="20"/>
          <w:szCs w:val="20"/>
        </w:rPr>
        <w:t>BG &amp;</w:t>
      </w:r>
      <w:hyperlink r:id="rId14" w:anchor="co_pp_sp_162_311" w:history="1">
        <w:r w:rsidR="00F3247D">
          <w:rPr>
            <w:rFonts w:ascii="Times New Roman" w:hAnsi="Times New Roman" w:cs="Times New Roman"/>
            <w:i/>
            <w:iCs/>
            <w:color w:val="0000FF"/>
            <w:sz w:val="20"/>
            <w:szCs w:val="20"/>
          </w:rPr>
          <w:t>E v. Lane,</w:t>
        </w:r>
        <w:r w:rsidR="00F3247D">
          <w:rPr>
            <w:rFonts w:ascii="Times New Roman" w:hAnsi="Times New Roman" w:cs="Times New Roman"/>
            <w:color w:val="0000FF"/>
            <w:sz w:val="20"/>
            <w:szCs w:val="20"/>
          </w:rPr>
          <w:t xml:space="preserve"> 338 Md. 34, 43, 656 A.2d 307, 311 (1995)</w:t>
        </w:r>
      </w:hyperlink>
      <w:r w:rsidR="00F3247D">
        <w:rPr>
          <w:rFonts w:ascii="Times New Roman" w:hAnsi="Times New Roman" w:cs="Times New Roman"/>
          <w:color w:val="000000"/>
          <w:sz w:val="20"/>
          <w:szCs w:val="20"/>
        </w:rPr>
        <w:t xml:space="preserve">, </w:t>
      </w:r>
      <w:r w:rsidR="00F3247D">
        <w:rPr>
          <w:rFonts w:ascii="Times New Roman" w:hAnsi="Times New Roman" w:cs="Times New Roman"/>
          <w:i/>
          <w:iCs/>
          <w:color w:val="000000"/>
          <w:sz w:val="20"/>
          <w:szCs w:val="20"/>
        </w:rPr>
        <w:t xml:space="preserve">citing </w:t>
      </w:r>
      <w:hyperlink r:id="rId15" w:anchor="co_pp_sp_162_188" w:history="1">
        <w:r w:rsidR="00F3247D">
          <w:rPr>
            <w:rFonts w:ascii="Times New Roman" w:hAnsi="Times New Roman" w:cs="Times New Roman"/>
            <w:i/>
            <w:iCs/>
            <w:color w:val="0000FF"/>
            <w:sz w:val="20"/>
            <w:szCs w:val="20"/>
          </w:rPr>
          <w:t>Rosenblatt v. Exxon,</w:t>
        </w:r>
        <w:r w:rsidR="00F3247D">
          <w:rPr>
            <w:rFonts w:ascii="Times New Roman" w:hAnsi="Times New Roman" w:cs="Times New Roman"/>
            <w:color w:val="0000FF"/>
            <w:sz w:val="20"/>
            <w:szCs w:val="20"/>
          </w:rPr>
          <w:t xml:space="preserve"> 335 Md. 58, 76, 642 A.2d 180, 188 (1994)</w:t>
        </w:r>
      </w:hyperlink>
      <w:r w:rsidR="00F3247D">
        <w:rPr>
          <w:rFonts w:ascii="Times New Roman" w:hAnsi="Times New Roman" w:cs="Times New Roman"/>
          <w:color w:val="000000"/>
          <w:sz w:val="20"/>
          <w:szCs w:val="20"/>
        </w:rPr>
        <w:t xml:space="preserve">. </w:t>
      </w:r>
      <w:r w:rsidR="00F3247D">
        <w:rPr>
          <w:rFonts w:ascii="Times New Roman" w:hAnsi="Times New Roman" w:cs="Times New Roman"/>
          <w:i/>
          <w:iCs/>
          <w:color w:val="000000"/>
          <w:sz w:val="20"/>
          <w:szCs w:val="20"/>
        </w:rPr>
        <w:t xml:space="preserve">See also </w:t>
      </w:r>
      <w:hyperlink r:id="rId16" w:history="1">
        <w:r w:rsidR="00F3247D">
          <w:rPr>
            <w:rFonts w:ascii="Times New Roman" w:hAnsi="Times New Roman" w:cs="Times New Roman"/>
            <w:i/>
            <w:iCs/>
            <w:color w:val="0000FF"/>
            <w:sz w:val="20"/>
            <w:szCs w:val="20"/>
          </w:rPr>
          <w:t>Lamb v. Hopkins,</w:t>
        </w:r>
        <w:r w:rsidR="00F3247D">
          <w:rPr>
            <w:rFonts w:ascii="Times New Roman" w:hAnsi="Times New Roman" w:cs="Times New Roman"/>
            <w:color w:val="0000FF"/>
            <w:sz w:val="20"/>
            <w:szCs w:val="20"/>
          </w:rPr>
          <w:t xml:space="preserve"> 303 Md. 236, 492 A.2d 1297 (1985)</w:t>
        </w:r>
      </w:hyperlink>
      <w:r w:rsidR="00F3247D">
        <w:rPr>
          <w:rFonts w:ascii="Times New Roman" w:hAnsi="Times New Roman" w:cs="Times New Roman"/>
          <w:color w:val="000000"/>
          <w:sz w:val="20"/>
          <w:szCs w:val="20"/>
        </w:rPr>
        <w:t xml:space="preserve">. Facts must be pleaded with some specificity to demonstrate that the elements which are required to sustain the cause of action exist. It is not sufficient to merely assert conclusory allegations suggesting that the elements are in fact present in the controversy. </w:t>
      </w:r>
      <w:r w:rsidR="00F3247D">
        <w:rPr>
          <w:rFonts w:ascii="Times New Roman" w:hAnsi="Times New Roman" w:cs="Times New Roman"/>
          <w:i/>
          <w:iCs/>
          <w:color w:val="000000"/>
          <w:sz w:val="20"/>
          <w:szCs w:val="20"/>
        </w:rPr>
        <w:t>Id.</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E80489">
      <w:pPr>
        <w:widowControl w:val="0"/>
        <w:autoSpaceDE w:val="0"/>
        <w:autoSpaceDN w:val="0"/>
        <w:adjustRightInd w:val="0"/>
        <w:spacing w:after="0" w:line="240" w:lineRule="auto"/>
        <w:jc w:val="both"/>
        <w:rPr>
          <w:rFonts w:ascii="Times New Roman" w:hAnsi="Times New Roman" w:cs="Times New Roman"/>
          <w:color w:val="000000"/>
          <w:sz w:val="20"/>
          <w:szCs w:val="20"/>
        </w:rPr>
      </w:pPr>
      <w:hyperlink w:anchor="co_anchor_F41999103761_1" w:history="1">
        <w:r w:rsidR="00F3247D">
          <w:rPr>
            <w:rFonts w:ascii="Times New Roman" w:hAnsi="Times New Roman" w:cs="Times New Roman"/>
            <w:b/>
            <w:bCs/>
            <w:color w:val="252525"/>
            <w:sz w:val="20"/>
            <w:szCs w:val="20"/>
            <w:vertAlign w:val="superscript"/>
          </w:rPr>
          <w:t>[4]</w:t>
        </w:r>
      </w:hyperlink>
      <w:bookmarkStart w:id="13" w:name="co_anchor_B41999103761_1"/>
      <w:bookmarkEnd w:id="13"/>
      <w:r w:rsidR="00F3247D">
        <w:rPr>
          <w:rFonts w:ascii="Times New Roman" w:hAnsi="Times New Roman" w:cs="Times New Roman"/>
          <w:color w:val="000000"/>
          <w:sz w:val="20"/>
          <w:szCs w:val="20"/>
        </w:rPr>
        <w:t xml:space="preserve"> The existence of all of the elements including a legally recognized duty owed by this defendant to this plaintiff or to a class of persons of which this plaintiff is a member is vital to sustaining a cause of action in negligence. </w:t>
      </w:r>
      <w:hyperlink r:id="rId17" w:anchor="co_pp_sp_162_188" w:history="1">
        <w:r w:rsidR="00F3247D">
          <w:rPr>
            <w:rFonts w:ascii="Times New Roman" w:hAnsi="Times New Roman" w:cs="Times New Roman"/>
            <w:i/>
            <w:iCs/>
            <w:color w:val="0000FF"/>
            <w:sz w:val="20"/>
            <w:szCs w:val="20"/>
          </w:rPr>
          <w:t>Rosenblatt v. Exxon,</w:t>
        </w:r>
        <w:r w:rsidR="00F3247D">
          <w:rPr>
            <w:rFonts w:ascii="Times New Roman" w:hAnsi="Times New Roman" w:cs="Times New Roman"/>
            <w:color w:val="0000FF"/>
            <w:sz w:val="20"/>
            <w:szCs w:val="20"/>
          </w:rPr>
          <w:t xml:space="preserve"> 335 Md. 58, 76, 642 A.2d 180, 188 (1994)</w:t>
        </w:r>
      </w:hyperlink>
      <w:r w:rsidR="00F3247D">
        <w:rPr>
          <w:rFonts w:ascii="Times New Roman" w:hAnsi="Times New Roman" w:cs="Times New Roman"/>
          <w:color w:val="000000"/>
          <w:sz w:val="20"/>
          <w:szCs w:val="20"/>
        </w:rPr>
        <w:t>. Generally, whether there is adequate proof of the required elements needed to succeed in a negligence action is a question of fact to be determined by the fact finder; but, the existence of a legal duty is a question of law to be decided by the court. Nevertheless, as so aptly stated by W. PAGE KEETON ET AL., PROSSER AND KEETON ON THE LAW OF TORTS § 30, at 358 (5th ed.1984):</w:t>
      </w:r>
    </w:p>
    <w:p w:rsidR="00833174" w:rsidRDefault="00F3247D">
      <w:pPr>
        <w:widowControl w:val="0"/>
        <w:autoSpaceDE w:val="0"/>
        <w:autoSpaceDN w:val="0"/>
        <w:adjustRightInd w:val="0"/>
        <w:spacing w:before="200" w:after="0" w:line="240" w:lineRule="auto"/>
        <w:ind w:left="200"/>
        <w:jc w:val="both"/>
        <w:rPr>
          <w:rFonts w:ascii="Times New Roman" w:hAnsi="Times New Roman" w:cs="Times New Roman"/>
          <w:color w:val="000000"/>
          <w:sz w:val="20"/>
          <w:szCs w:val="20"/>
        </w:rPr>
      </w:pPr>
      <w:r>
        <w:rPr>
          <w:rFonts w:ascii="Times New Roman" w:hAnsi="Times New Roman" w:cs="Times New Roman"/>
          <w:color w:val="000000"/>
          <w:sz w:val="20"/>
          <w:szCs w:val="20"/>
        </w:rPr>
        <w:t>“There is little analysis of the problem of duty in the courts. Frequently it is dealt with in terms of what is called ‘proximate cause,’ usually with resulting confusion. In such cases, the question of what is ‘proximate’ and that of duty are fundamentally the same: whether the interests of the plaintiff are to be protected against the particular invasion by the defendant’s conduct....</w:t>
      </w:r>
    </w:p>
    <w:p w:rsidR="00833174" w:rsidRDefault="00F3247D">
      <w:pPr>
        <w:widowControl w:val="0"/>
        <w:autoSpaceDE w:val="0"/>
        <w:autoSpaceDN w:val="0"/>
        <w:adjustRightInd w:val="0"/>
        <w:spacing w:before="200" w:after="0" w:line="240" w:lineRule="auto"/>
        <w:ind w:left="200"/>
        <w:jc w:val="both"/>
        <w:rPr>
          <w:rFonts w:ascii="Times New Roman" w:hAnsi="Times New Roman" w:cs="Times New Roman"/>
          <w:color w:val="000000"/>
          <w:sz w:val="20"/>
          <w:szCs w:val="20"/>
        </w:rPr>
      </w:pPr>
      <w:bookmarkStart w:id="14" w:name="co_pp_sp_536_550_1"/>
      <w:bookmarkEnd w:id="14"/>
      <w:r>
        <w:rPr>
          <w:rFonts w:ascii="Times New Roman" w:hAnsi="Times New Roman" w:cs="Times New Roman"/>
          <w:b/>
          <w:bCs/>
          <w:color w:val="000000"/>
          <w:sz w:val="20"/>
          <w:szCs w:val="20"/>
        </w:rPr>
        <w:t>*550</w:t>
      </w:r>
      <w:r>
        <w:rPr>
          <w:rFonts w:ascii="Times New Roman" w:hAnsi="Times New Roman" w:cs="Times New Roman"/>
          <w:color w:val="000000"/>
          <w:sz w:val="20"/>
          <w:szCs w:val="20"/>
        </w:rPr>
        <w:t>There are, however, a good many defendants, and a good many situations, as to which there is no such duty. In other words, the defendant is under no legal obligation toward the particular plaintiff to act with the care of a reasonable man, and he is not liable even though his conduct falls short of that standard, and the other is injured as a result.”</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15" w:name="co_pp_sp_162_950_1"/>
      <w:bookmarkEnd w:id="15"/>
      <w:r>
        <w:rPr>
          <w:rFonts w:ascii="Times New Roman" w:hAnsi="Times New Roman" w:cs="Times New Roman"/>
          <w:b/>
          <w:bCs/>
          <w:color w:val="000000"/>
          <w:sz w:val="20"/>
          <w:szCs w:val="20"/>
        </w:rPr>
        <w:t>**950</w:t>
      </w:r>
      <w:hyperlink w:anchor="co_anchor_F51999103761_1" w:history="1">
        <w:r>
          <w:rPr>
            <w:rFonts w:ascii="Times New Roman" w:hAnsi="Times New Roman" w:cs="Times New Roman"/>
            <w:b/>
            <w:bCs/>
            <w:color w:val="252525"/>
            <w:sz w:val="20"/>
            <w:szCs w:val="20"/>
            <w:vertAlign w:val="superscript"/>
          </w:rPr>
          <w:t>[5]</w:t>
        </w:r>
      </w:hyperlink>
      <w:bookmarkStart w:id="16" w:name="co_anchor_B51999103761_1"/>
      <w:bookmarkEnd w:id="16"/>
      <w:r>
        <w:rPr>
          <w:rFonts w:ascii="Times New Roman" w:hAnsi="Times New Roman" w:cs="Times New Roman"/>
          <w:color w:val="000000"/>
          <w:sz w:val="20"/>
          <w:szCs w:val="20"/>
        </w:rPr>
        <w:t xml:space="preserve">We focus our attention then on the question of whether the respondent owed a duty to the petitioner’s decedent under the facts of the instant case. First, it is important to consider the policy reasons supporting a cause of action in negligence. The purpose is to discourage or encourage specific types of behavior by one party to the benefit of another party. The purpose is defined in the first element needed in order to sustain a cause of action in negligence, proof that the defendant had a duty to act to the benefit of the plaintiff. If the creation of a duty has no benefit to the plaintiff then the purpose is defeated. In </w:t>
      </w:r>
      <w:hyperlink r:id="rId18" w:anchor="co_pp_sp_162_1083" w:history="1">
        <w:r>
          <w:rPr>
            <w:rFonts w:ascii="Times New Roman" w:hAnsi="Times New Roman" w:cs="Times New Roman"/>
            <w:i/>
            <w:iCs/>
            <w:color w:val="0000FF"/>
            <w:sz w:val="20"/>
            <w:szCs w:val="20"/>
          </w:rPr>
          <w:t>Ashburn v. Anne Arundel County,</w:t>
        </w:r>
        <w:r>
          <w:rPr>
            <w:rFonts w:ascii="Times New Roman" w:hAnsi="Times New Roman" w:cs="Times New Roman"/>
            <w:color w:val="0000FF"/>
            <w:sz w:val="20"/>
            <w:szCs w:val="20"/>
          </w:rPr>
          <w:t xml:space="preserve"> 306 Md. 617, 627, 510 A.2d 1078, 1083 (1986)</w:t>
        </w:r>
      </w:hyperlink>
      <w:r>
        <w:rPr>
          <w:rFonts w:ascii="Times New Roman" w:hAnsi="Times New Roman" w:cs="Times New Roman"/>
          <w:color w:val="000000"/>
          <w:sz w:val="20"/>
          <w:szCs w:val="20"/>
        </w:rPr>
        <w:t xml:space="preserve"> we quoted Prosser and Keeton’s treatise on torts: “A duty, in negligence cases, may be defined as an obligation, to which the law will give recognition and effect, to conform to a particular standard of conduct toward another.” PROSSER AND KEETON ON THE LAW OF TORTS, </w:t>
      </w:r>
      <w:r>
        <w:rPr>
          <w:rFonts w:ascii="Times New Roman" w:hAnsi="Times New Roman" w:cs="Times New Roman"/>
          <w:i/>
          <w:iCs/>
          <w:color w:val="000000"/>
          <w:sz w:val="20"/>
          <w:szCs w:val="20"/>
        </w:rPr>
        <w:t>supra,</w:t>
      </w:r>
      <w:r>
        <w:rPr>
          <w:rFonts w:ascii="Times New Roman" w:hAnsi="Times New Roman" w:cs="Times New Roman"/>
          <w:color w:val="000000"/>
          <w:sz w:val="20"/>
          <w:szCs w:val="20"/>
        </w:rPr>
        <w:t xml:space="preserve"> at 356. In addition, “[d]uty, it must be recalled, does not exist in a vacuum; the duty required in law must be to the person injured. It is a focused duty.” </w:t>
      </w:r>
      <w:hyperlink r:id="rId19" w:anchor="co_pp_sp_162_638" w:history="1">
        <w:r>
          <w:rPr>
            <w:rFonts w:ascii="Times New Roman" w:hAnsi="Times New Roman" w:cs="Times New Roman"/>
            <w:i/>
            <w:iCs/>
            <w:color w:val="0000FF"/>
            <w:sz w:val="20"/>
            <w:szCs w:val="20"/>
          </w:rPr>
          <w:t>Valentine v. On Target,</w:t>
        </w:r>
        <w:r>
          <w:rPr>
            <w:rFonts w:ascii="Times New Roman" w:hAnsi="Times New Roman" w:cs="Times New Roman"/>
            <w:color w:val="0000FF"/>
            <w:sz w:val="20"/>
            <w:szCs w:val="20"/>
          </w:rPr>
          <w:t xml:space="preserve"> 112 Md.App. 679, 684, 686 A.2d 636, 638 (1996)</w:t>
        </w:r>
      </w:hyperlink>
      <w:r>
        <w:rPr>
          <w:rFonts w:ascii="Times New Roman" w:hAnsi="Times New Roman" w:cs="Times New Roman"/>
          <w:color w:val="000000"/>
          <w:sz w:val="20"/>
          <w:szCs w:val="20"/>
        </w:rPr>
        <w:t xml:space="preserve">. As further defined by Prosser and Keeton “In other words, ‘duty’ is a question of whether the defendant is under any obligation for the benefit of the particular plaintiff; and in negligence cases, the duty is always the same-to conform to the legal standard of reasonable conduct in the light of the apparent risk,” </w:t>
      </w:r>
      <w:r>
        <w:rPr>
          <w:rFonts w:ascii="Times New Roman" w:hAnsi="Times New Roman" w:cs="Times New Roman"/>
          <w:i/>
          <w:iCs/>
          <w:color w:val="000000"/>
          <w:sz w:val="20"/>
          <w:szCs w:val="20"/>
        </w:rPr>
        <w:t>supra</w:t>
      </w:r>
      <w:r>
        <w:rPr>
          <w:rFonts w:ascii="Times New Roman" w:hAnsi="Times New Roman" w:cs="Times New Roman"/>
          <w:color w:val="000000"/>
          <w:sz w:val="20"/>
          <w:szCs w:val="20"/>
        </w:rPr>
        <w:t xml:space="preserve"> at 356.</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E80489">
      <w:pPr>
        <w:widowControl w:val="0"/>
        <w:autoSpaceDE w:val="0"/>
        <w:autoSpaceDN w:val="0"/>
        <w:adjustRightInd w:val="0"/>
        <w:spacing w:after="0" w:line="240" w:lineRule="auto"/>
        <w:jc w:val="both"/>
        <w:rPr>
          <w:rFonts w:ascii="Times New Roman" w:hAnsi="Times New Roman" w:cs="Times New Roman"/>
          <w:color w:val="000000"/>
          <w:sz w:val="20"/>
          <w:szCs w:val="20"/>
        </w:rPr>
      </w:pPr>
      <w:hyperlink w:anchor="co_anchor_F61999103761_1" w:history="1">
        <w:r w:rsidR="00F3247D">
          <w:rPr>
            <w:rFonts w:ascii="Times New Roman" w:hAnsi="Times New Roman" w:cs="Times New Roman"/>
            <w:b/>
            <w:bCs/>
            <w:color w:val="252525"/>
            <w:sz w:val="20"/>
            <w:szCs w:val="20"/>
            <w:vertAlign w:val="superscript"/>
          </w:rPr>
          <w:t>[6]</w:t>
        </w:r>
      </w:hyperlink>
      <w:bookmarkStart w:id="17" w:name="co_anchor_B61999103761_1"/>
      <w:bookmarkEnd w:id="17"/>
      <w:r>
        <w:fldChar w:fldCharType="begin"/>
      </w:r>
      <w:r>
        <w:instrText>HYPERLINK \l "co_anchor_F71999103761_1"</w:instrText>
      </w:r>
      <w:r>
        <w:fldChar w:fldCharType="separate"/>
      </w:r>
      <w:r w:rsidR="00F3247D">
        <w:rPr>
          <w:rFonts w:ascii="Times New Roman" w:hAnsi="Times New Roman" w:cs="Times New Roman"/>
          <w:b/>
          <w:bCs/>
          <w:color w:val="252525"/>
          <w:sz w:val="20"/>
          <w:szCs w:val="20"/>
          <w:vertAlign w:val="superscript"/>
        </w:rPr>
        <w:t>[7]</w:t>
      </w:r>
      <w:r>
        <w:fldChar w:fldCharType="end"/>
      </w:r>
      <w:bookmarkStart w:id="18" w:name="co_anchor_B71999103761_1"/>
      <w:bookmarkEnd w:id="18"/>
      <w:r>
        <w:fldChar w:fldCharType="begin"/>
      </w:r>
      <w:r>
        <w:instrText>HYPERLINK \l "co_anchor_F81999103761_1"</w:instrText>
      </w:r>
      <w:r>
        <w:fldChar w:fldCharType="separate"/>
      </w:r>
      <w:r w:rsidR="00F3247D">
        <w:rPr>
          <w:rFonts w:ascii="Times New Roman" w:hAnsi="Times New Roman" w:cs="Times New Roman"/>
          <w:b/>
          <w:bCs/>
          <w:color w:val="252525"/>
          <w:sz w:val="20"/>
          <w:szCs w:val="20"/>
          <w:vertAlign w:val="superscript"/>
        </w:rPr>
        <w:t>[8]</w:t>
      </w:r>
      <w:r>
        <w:fldChar w:fldCharType="end"/>
      </w:r>
      <w:bookmarkStart w:id="19" w:name="co_anchor_B81999103761_1"/>
      <w:bookmarkEnd w:id="19"/>
      <w:r w:rsidR="00F3247D">
        <w:rPr>
          <w:rFonts w:ascii="Times New Roman" w:hAnsi="Times New Roman" w:cs="Times New Roman"/>
          <w:color w:val="000000"/>
          <w:sz w:val="20"/>
          <w:szCs w:val="20"/>
        </w:rPr>
        <w:t xml:space="preserve">Accordingly, the duty question that arises under the facts of the instant case primarily requires consideration of two of the concepts which create duty, relationship or nexus of the parties and foreseeability. As we further held in </w:t>
      </w:r>
      <w:r w:rsidR="00F3247D">
        <w:rPr>
          <w:rFonts w:ascii="Times New Roman" w:hAnsi="Times New Roman" w:cs="Times New Roman"/>
          <w:i/>
          <w:iCs/>
          <w:color w:val="000000"/>
          <w:sz w:val="20"/>
          <w:szCs w:val="20"/>
        </w:rPr>
        <w:t>Rosenblatt, supra,</w:t>
      </w:r>
      <w:r w:rsidR="00F3247D">
        <w:rPr>
          <w:rFonts w:ascii="Times New Roman" w:hAnsi="Times New Roman" w:cs="Times New Roman"/>
          <w:color w:val="000000"/>
          <w:sz w:val="20"/>
          <w:szCs w:val="20"/>
        </w:rPr>
        <w:t xml:space="preserve"> “[i]n determining the existence of a duty owed to </w:t>
      </w:r>
      <w:bookmarkStart w:id="20" w:name="co_pp_sp_536_551_1"/>
      <w:bookmarkEnd w:id="20"/>
      <w:r w:rsidR="00F3247D">
        <w:rPr>
          <w:rFonts w:ascii="Times New Roman" w:hAnsi="Times New Roman" w:cs="Times New Roman"/>
          <w:b/>
          <w:bCs/>
          <w:color w:val="000000"/>
          <w:sz w:val="20"/>
          <w:szCs w:val="20"/>
        </w:rPr>
        <w:t>*551</w:t>
      </w:r>
      <w:r w:rsidR="00F3247D">
        <w:rPr>
          <w:rFonts w:ascii="Times New Roman" w:hAnsi="Times New Roman" w:cs="Times New Roman"/>
          <w:color w:val="000000"/>
          <w:sz w:val="20"/>
          <w:szCs w:val="20"/>
        </w:rPr>
        <w:t xml:space="preserve"> a plaintiff, we have applied a ‘foreseeability of harm’ test, which is based upon the recognition that a duty must be limited to avoid liability for unreasonably remote consequences. Inherent also in the concept of duty is the concept of a relationship between the parties out of which the duty arises.” </w:t>
      </w:r>
      <w:hyperlink r:id="rId20" w:anchor="co_pp_sp_162_189" w:history="1">
        <w:r w:rsidR="00F3247D">
          <w:rPr>
            <w:rFonts w:ascii="Times New Roman" w:hAnsi="Times New Roman" w:cs="Times New Roman"/>
            <w:color w:val="0000FF"/>
            <w:sz w:val="20"/>
            <w:szCs w:val="20"/>
          </w:rPr>
          <w:t>335 Md. 58, 77, 642 A.2d 180, 189 (1994)</w:t>
        </w:r>
      </w:hyperlink>
      <w:r w:rsidR="00F3247D">
        <w:rPr>
          <w:rFonts w:ascii="Times New Roman" w:hAnsi="Times New Roman" w:cs="Times New Roman"/>
          <w:color w:val="000000"/>
          <w:sz w:val="20"/>
          <w:szCs w:val="20"/>
        </w:rPr>
        <w:t>. Petitioner does not allege any facts to support his claim that respondent knew or should have known of the existence of circumstances that increased the probability that a thief would steal guns from its retail store and that a third unknown party would obtain one of those stolen guns and use it in a criminal manner. Nevertheless, petitioner argues that it is generally foreseeable that guns are increasingly used in the commission of crimes. In effect, petitioner’s argument would impose a duty based solely on an imprecise notion of a foreseeability of risk of harm to the public in general. Notwithstanding the fact that foreseeability is a critical element in ascertaining whether or not a duty exists, not all foreseeable harm gives rise to a duty; there are other factors to consider such as intervening circumstances or parties.</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E80489">
      <w:pPr>
        <w:widowControl w:val="0"/>
        <w:autoSpaceDE w:val="0"/>
        <w:autoSpaceDN w:val="0"/>
        <w:adjustRightInd w:val="0"/>
        <w:spacing w:after="0" w:line="240" w:lineRule="auto"/>
        <w:jc w:val="both"/>
        <w:rPr>
          <w:rFonts w:ascii="Times New Roman" w:hAnsi="Times New Roman" w:cs="Times New Roman"/>
          <w:color w:val="000000"/>
          <w:sz w:val="20"/>
          <w:szCs w:val="20"/>
        </w:rPr>
      </w:pPr>
      <w:hyperlink w:anchor="co_anchor_F91999103761_1" w:history="1">
        <w:r w:rsidR="00F3247D">
          <w:rPr>
            <w:rFonts w:ascii="Times New Roman" w:hAnsi="Times New Roman" w:cs="Times New Roman"/>
            <w:b/>
            <w:bCs/>
            <w:color w:val="252525"/>
            <w:sz w:val="20"/>
            <w:szCs w:val="20"/>
            <w:vertAlign w:val="superscript"/>
          </w:rPr>
          <w:t>[9]</w:t>
        </w:r>
      </w:hyperlink>
      <w:bookmarkStart w:id="21" w:name="co_anchor_B91999103761_1"/>
      <w:bookmarkEnd w:id="21"/>
      <w:r w:rsidR="00F3247D">
        <w:rPr>
          <w:rFonts w:ascii="Times New Roman" w:hAnsi="Times New Roman" w:cs="Times New Roman"/>
          <w:color w:val="000000"/>
          <w:sz w:val="20"/>
          <w:szCs w:val="20"/>
        </w:rPr>
        <w:t xml:space="preserve"> Although this Court has analyzed the concept of duty under a variety of different factual scenarios, our holding in </w:t>
      </w:r>
      <w:hyperlink r:id="rId21" w:history="1">
        <w:r w:rsidR="00F3247D">
          <w:rPr>
            <w:rFonts w:ascii="Times New Roman" w:hAnsi="Times New Roman" w:cs="Times New Roman"/>
            <w:i/>
            <w:iCs/>
            <w:color w:val="0000FF"/>
            <w:sz w:val="20"/>
            <w:szCs w:val="20"/>
          </w:rPr>
          <w:t>Scott v. Watson,</w:t>
        </w:r>
        <w:r w:rsidR="00F3247D">
          <w:rPr>
            <w:rFonts w:ascii="Times New Roman" w:hAnsi="Times New Roman" w:cs="Times New Roman"/>
            <w:color w:val="0000FF"/>
            <w:sz w:val="20"/>
            <w:szCs w:val="20"/>
          </w:rPr>
          <w:t xml:space="preserve"> 278 Md. 160, 359 A.2d 548 (1976)</w:t>
        </w:r>
      </w:hyperlink>
      <w:r w:rsidR="00F3247D">
        <w:rPr>
          <w:rFonts w:ascii="Times New Roman" w:hAnsi="Times New Roman" w:cs="Times New Roman"/>
          <w:color w:val="000000"/>
          <w:sz w:val="20"/>
          <w:szCs w:val="20"/>
        </w:rPr>
        <w:t xml:space="preserve">, articulates the law in Maryland and adds substantial support for our holding in the case at bar. In that case we were called upon to answer a question certified to us by the United States District Court for the District of Maryland, pursuant to the Uniform Certification of Questions of Law Act, </w:t>
      </w:r>
      <w:hyperlink r:id="rId22" w:history="1">
        <w:r w:rsidR="00F3247D">
          <w:rPr>
            <w:rFonts w:ascii="Times New Roman" w:hAnsi="Times New Roman" w:cs="Times New Roman"/>
            <w:color w:val="0000FF"/>
            <w:sz w:val="20"/>
            <w:szCs w:val="20"/>
          </w:rPr>
          <w:t>Maryland Code (1974) § 12</w:t>
        </w:r>
      </w:hyperlink>
      <w:r w:rsidR="00F3247D">
        <w:rPr>
          <w:rFonts w:ascii="Times New Roman" w:hAnsi="Times New Roman" w:cs="Times New Roman"/>
          <w:color w:val="000000"/>
          <w:sz w:val="20"/>
          <w:szCs w:val="20"/>
        </w:rPr>
        <w:t xml:space="preserve">-601 </w:t>
      </w:r>
      <w:r w:rsidR="00F3247D">
        <w:rPr>
          <w:rFonts w:ascii="Times New Roman" w:hAnsi="Times New Roman" w:cs="Times New Roman"/>
          <w:i/>
          <w:iCs/>
          <w:color w:val="000000"/>
          <w:sz w:val="20"/>
          <w:szCs w:val="20"/>
        </w:rPr>
        <w:t>et seq.,</w:t>
      </w:r>
      <w:r w:rsidR="00F3247D">
        <w:rPr>
          <w:rFonts w:ascii="Times New Roman" w:hAnsi="Times New Roman" w:cs="Times New Roman"/>
          <w:color w:val="000000"/>
          <w:sz w:val="20"/>
          <w:szCs w:val="20"/>
        </w:rPr>
        <w:t xml:space="preserve"> of the Courts &amp; Judicial Proceedings Article. The questions certified to us involved what, if any, duty a landlord owed to tenants to protect them from the criminal acts of third parties </w:t>
      </w:r>
      <w:r w:rsidR="00F3247D">
        <w:rPr>
          <w:rFonts w:ascii="Times New Roman" w:hAnsi="Times New Roman" w:cs="Times New Roman"/>
          <w:color w:val="000000"/>
          <w:sz w:val="20"/>
          <w:szCs w:val="20"/>
        </w:rPr>
        <w:lastRenderedPageBreak/>
        <w:t xml:space="preserve">committed in the common areas of the leased premises which were within the landlord’s control. </w:t>
      </w:r>
      <w:r w:rsidR="00F3247D">
        <w:rPr>
          <w:rFonts w:ascii="Times New Roman" w:hAnsi="Times New Roman" w:cs="Times New Roman"/>
          <w:i/>
          <w:iCs/>
          <w:color w:val="000000"/>
          <w:sz w:val="20"/>
          <w:szCs w:val="20"/>
        </w:rPr>
        <w:t>Id.</w:t>
      </w:r>
      <w:r w:rsidR="00F3247D">
        <w:rPr>
          <w:rFonts w:ascii="Times New Roman" w:hAnsi="Times New Roman" w:cs="Times New Roman"/>
          <w:color w:val="000000"/>
          <w:sz w:val="20"/>
          <w:szCs w:val="20"/>
        </w:rPr>
        <w:t xml:space="preserve"> at 161-62, </w:t>
      </w:r>
      <w:hyperlink r:id="rId23" w:history="1">
        <w:r w:rsidR="00F3247D">
          <w:rPr>
            <w:rFonts w:ascii="Times New Roman" w:hAnsi="Times New Roman" w:cs="Times New Roman"/>
            <w:color w:val="0000FF"/>
            <w:sz w:val="20"/>
            <w:szCs w:val="20"/>
          </w:rPr>
          <w:t>359 A.2d 548.</w:t>
        </w:r>
      </w:hyperlink>
      <w:r w:rsidR="00F3247D">
        <w:rPr>
          <w:rFonts w:ascii="Times New Roman" w:hAnsi="Times New Roman" w:cs="Times New Roman"/>
          <w:color w:val="000000"/>
          <w:sz w:val="20"/>
          <w:szCs w:val="20"/>
        </w:rPr>
        <w:t xml:space="preserve"> In that case, a tenant was shot in the underground parking garage of the apartment complex by an unknown assailant. Plaintiff brought an action sounding in negligence against the landlord. We held that “[t]he general rule is a subsidiary of the broader rule that a </w:t>
      </w:r>
      <w:bookmarkStart w:id="22" w:name="co_pp_sp_536_552_1"/>
      <w:bookmarkEnd w:id="22"/>
      <w:r w:rsidR="00F3247D">
        <w:rPr>
          <w:rFonts w:ascii="Times New Roman" w:hAnsi="Times New Roman" w:cs="Times New Roman"/>
          <w:b/>
          <w:bCs/>
          <w:color w:val="000000"/>
          <w:sz w:val="20"/>
          <w:szCs w:val="20"/>
        </w:rPr>
        <w:t>*552</w:t>
      </w:r>
      <w:r w:rsidR="00F3247D">
        <w:rPr>
          <w:rFonts w:ascii="Times New Roman" w:hAnsi="Times New Roman" w:cs="Times New Roman"/>
          <w:color w:val="000000"/>
          <w:sz w:val="20"/>
          <w:szCs w:val="20"/>
        </w:rPr>
        <w:t xml:space="preserve"> private person is under no special duty to protect another from the criminal acts by a third person, in the absence of statutes, or of a special relationship. </w:t>
      </w:r>
      <w:r w:rsidR="00F3247D">
        <w:rPr>
          <w:rFonts w:ascii="Times New Roman" w:hAnsi="Times New Roman" w:cs="Times New Roman"/>
          <w:i/>
          <w:iCs/>
          <w:color w:val="000000"/>
          <w:sz w:val="20"/>
          <w:szCs w:val="20"/>
        </w:rPr>
        <w:t xml:space="preserve">See </w:t>
      </w:r>
      <w:hyperlink r:id="rId24" w:history="1">
        <w:r w:rsidR="00F3247D">
          <w:rPr>
            <w:rFonts w:ascii="Times New Roman" w:hAnsi="Times New Roman" w:cs="Times New Roman"/>
            <w:color w:val="0000FF"/>
            <w:sz w:val="20"/>
            <w:szCs w:val="20"/>
          </w:rPr>
          <w:t>Restatement of Torts (Second) § 315 (1965)</w:t>
        </w:r>
      </w:hyperlink>
      <w:r w:rsidR="00F3247D">
        <w:rPr>
          <w:rFonts w:ascii="Times New Roman" w:hAnsi="Times New Roman" w:cs="Times New Roman"/>
          <w:color w:val="000000"/>
          <w:sz w:val="20"/>
          <w:szCs w:val="20"/>
        </w:rPr>
        <w:t xml:space="preserve"> (no duty to control third person’s conduct so as to prevent physical harm to another unless a special relation exists between actor and third person, </w:t>
      </w:r>
      <w:bookmarkStart w:id="23" w:name="co_pp_sp_162_951_1"/>
      <w:bookmarkEnd w:id="23"/>
      <w:r w:rsidR="00F3247D">
        <w:rPr>
          <w:rFonts w:ascii="Times New Roman" w:hAnsi="Times New Roman" w:cs="Times New Roman"/>
          <w:b/>
          <w:bCs/>
          <w:color w:val="000000"/>
          <w:sz w:val="20"/>
          <w:szCs w:val="20"/>
        </w:rPr>
        <w:t>**951</w:t>
      </w:r>
      <w:r w:rsidR="00F3247D">
        <w:rPr>
          <w:rFonts w:ascii="Times New Roman" w:hAnsi="Times New Roman" w:cs="Times New Roman"/>
          <w:color w:val="000000"/>
          <w:sz w:val="20"/>
          <w:szCs w:val="20"/>
        </w:rPr>
        <w:t xml:space="preserve"> or between actor and the other.)” </w:t>
      </w:r>
      <w:r w:rsidR="00F3247D">
        <w:rPr>
          <w:rFonts w:ascii="Times New Roman" w:hAnsi="Times New Roman" w:cs="Times New Roman"/>
          <w:i/>
          <w:iCs/>
          <w:color w:val="000000"/>
          <w:sz w:val="20"/>
          <w:szCs w:val="20"/>
        </w:rPr>
        <w:t>Id.</w:t>
      </w:r>
      <w:r w:rsidR="00F3247D">
        <w:rPr>
          <w:rFonts w:ascii="Times New Roman" w:hAnsi="Times New Roman" w:cs="Times New Roman"/>
          <w:color w:val="000000"/>
          <w:sz w:val="20"/>
          <w:szCs w:val="20"/>
        </w:rPr>
        <w:t xml:space="preserve"> at 166, </w:t>
      </w:r>
      <w:hyperlink r:id="rId25" w:history="1">
        <w:r w:rsidR="00F3247D">
          <w:rPr>
            <w:rFonts w:ascii="Times New Roman" w:hAnsi="Times New Roman" w:cs="Times New Roman"/>
            <w:color w:val="0000FF"/>
            <w:sz w:val="20"/>
            <w:szCs w:val="20"/>
          </w:rPr>
          <w:t>359 A.2d 548</w:t>
        </w:r>
      </w:hyperlink>
      <w:r w:rsidR="00F3247D">
        <w:rPr>
          <w:rFonts w:ascii="Times New Roman" w:hAnsi="Times New Roman" w:cs="Times New Roman"/>
          <w:color w:val="000000"/>
          <w:sz w:val="20"/>
          <w:szCs w:val="20"/>
        </w:rPr>
        <w:t>.</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As clearly outlined by Judge Wilner, “[t]he view expressed in </w:t>
      </w:r>
      <w:r>
        <w:rPr>
          <w:rFonts w:ascii="Times New Roman" w:hAnsi="Times New Roman" w:cs="Times New Roman"/>
          <w:i/>
          <w:iCs/>
          <w:color w:val="000000"/>
          <w:sz w:val="20"/>
          <w:szCs w:val="20"/>
        </w:rPr>
        <w:t>Scott</w:t>
      </w:r>
      <w:r>
        <w:rPr>
          <w:rFonts w:ascii="Times New Roman" w:hAnsi="Times New Roman" w:cs="Times New Roman"/>
          <w:color w:val="000000"/>
          <w:sz w:val="20"/>
          <w:szCs w:val="20"/>
        </w:rPr>
        <w:t xml:space="preserve"> has been confirmed in later cases. </w:t>
      </w:r>
      <w:r>
        <w:rPr>
          <w:rFonts w:ascii="Times New Roman" w:hAnsi="Times New Roman" w:cs="Times New Roman"/>
          <w:i/>
          <w:iCs/>
          <w:color w:val="000000"/>
          <w:sz w:val="20"/>
          <w:szCs w:val="20"/>
        </w:rPr>
        <w:t xml:space="preserve">See </w:t>
      </w:r>
      <w:hyperlink r:id="rId26" w:history="1">
        <w:r>
          <w:rPr>
            <w:rFonts w:ascii="Times New Roman" w:hAnsi="Times New Roman" w:cs="Times New Roman"/>
            <w:i/>
            <w:iCs/>
            <w:color w:val="0000FF"/>
            <w:sz w:val="20"/>
            <w:szCs w:val="20"/>
          </w:rPr>
          <w:t>Lamb v. Hopkins,</w:t>
        </w:r>
        <w:r>
          <w:rPr>
            <w:rFonts w:ascii="Times New Roman" w:hAnsi="Times New Roman" w:cs="Times New Roman"/>
            <w:color w:val="0000FF"/>
            <w:sz w:val="20"/>
            <w:szCs w:val="20"/>
          </w:rPr>
          <w:t xml:space="preserve"> 303 Md. 236, 492 A.2d 1297 (1985)</w:t>
        </w:r>
      </w:hyperlink>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 xml:space="preserve">cf. </w:t>
      </w:r>
      <w:hyperlink r:id="rId27" w:history="1">
        <w:r>
          <w:rPr>
            <w:rFonts w:ascii="Times New Roman" w:hAnsi="Times New Roman" w:cs="Times New Roman"/>
            <w:i/>
            <w:iCs/>
            <w:color w:val="0000FF"/>
            <w:sz w:val="20"/>
            <w:szCs w:val="20"/>
          </w:rPr>
          <w:t>Southland Corp. v. Griffith,</w:t>
        </w:r>
        <w:r>
          <w:rPr>
            <w:rFonts w:ascii="Times New Roman" w:hAnsi="Times New Roman" w:cs="Times New Roman"/>
            <w:color w:val="0000FF"/>
            <w:sz w:val="20"/>
            <w:szCs w:val="20"/>
          </w:rPr>
          <w:t xml:space="preserve"> 332 Md. 704, 716-17, 633 A.2d 84 (1993)</w:t>
        </w:r>
      </w:hyperlink>
      <w:r>
        <w:rPr>
          <w:rFonts w:ascii="Times New Roman" w:hAnsi="Times New Roman" w:cs="Times New Roman"/>
          <w:color w:val="000000"/>
          <w:sz w:val="20"/>
          <w:szCs w:val="20"/>
        </w:rPr>
        <w:t xml:space="preserve">, applying the same principle with respect to a duty to aid, </w:t>
      </w:r>
      <w:r>
        <w:rPr>
          <w:rFonts w:ascii="Times New Roman" w:hAnsi="Times New Roman" w:cs="Times New Roman"/>
          <w:i/>
          <w:iCs/>
          <w:color w:val="000000"/>
          <w:sz w:val="20"/>
          <w:szCs w:val="20"/>
        </w:rPr>
        <w:t>i.e.,</w:t>
      </w:r>
      <w:r>
        <w:rPr>
          <w:rFonts w:ascii="Times New Roman" w:hAnsi="Times New Roman" w:cs="Times New Roman"/>
          <w:color w:val="000000"/>
          <w:sz w:val="20"/>
          <w:szCs w:val="20"/>
        </w:rPr>
        <w:t xml:space="preserve"> there is no duty on the part of a storeowner to aid a customer from attack by a third person in the absence of statute or special relationship. </w:t>
      </w:r>
      <w:r>
        <w:rPr>
          <w:rFonts w:ascii="Times New Roman" w:hAnsi="Times New Roman" w:cs="Times New Roman"/>
          <w:i/>
          <w:iCs/>
          <w:color w:val="000000"/>
          <w:sz w:val="20"/>
          <w:szCs w:val="20"/>
        </w:rPr>
        <w:t xml:space="preserve">See also </w:t>
      </w:r>
      <w:hyperlink r:id="rId28" w:history="1">
        <w:r>
          <w:rPr>
            <w:rFonts w:ascii="Times New Roman" w:hAnsi="Times New Roman" w:cs="Times New Roman"/>
            <w:i/>
            <w:iCs/>
            <w:color w:val="0000FF"/>
            <w:sz w:val="20"/>
            <w:szCs w:val="20"/>
          </w:rPr>
          <w:t>Ashburn v. Anne Arundel County,</w:t>
        </w:r>
        <w:r>
          <w:rPr>
            <w:rFonts w:ascii="Times New Roman" w:hAnsi="Times New Roman" w:cs="Times New Roman"/>
            <w:color w:val="0000FF"/>
            <w:sz w:val="20"/>
            <w:szCs w:val="20"/>
          </w:rPr>
          <w:t xml:space="preserve"> 306 Md. 617, 510 A.2d 1078 (1986)</w:t>
        </w:r>
      </w:hyperlink>
      <w:r>
        <w:rPr>
          <w:rFonts w:ascii="Times New Roman" w:hAnsi="Times New Roman" w:cs="Times New Roman"/>
          <w:color w:val="000000"/>
          <w:sz w:val="20"/>
          <w:szCs w:val="20"/>
        </w:rPr>
        <w:t xml:space="preserve"> (police officer had no duty to prevent allegedly drunk driver from injuring pedestrian); </w:t>
      </w:r>
      <w:hyperlink r:id="rId29" w:history="1">
        <w:r>
          <w:rPr>
            <w:rFonts w:ascii="Times New Roman" w:hAnsi="Times New Roman" w:cs="Times New Roman"/>
            <w:i/>
            <w:iCs/>
            <w:color w:val="0000FF"/>
            <w:sz w:val="20"/>
            <w:szCs w:val="20"/>
          </w:rPr>
          <w:t>Furr v. Spring Grove State Hosp.,</w:t>
        </w:r>
        <w:r>
          <w:rPr>
            <w:rFonts w:ascii="Times New Roman" w:hAnsi="Times New Roman" w:cs="Times New Roman"/>
            <w:color w:val="0000FF"/>
            <w:sz w:val="20"/>
            <w:szCs w:val="20"/>
          </w:rPr>
          <w:t xml:space="preserve"> 53 Md.App. 474, 454 A.2d 414,</w:t>
        </w:r>
      </w:hyperlink>
      <w:r>
        <w:rPr>
          <w:rFonts w:ascii="Times New Roman" w:hAnsi="Times New Roman" w:cs="Times New Roman"/>
          <w:i/>
          <w:iCs/>
          <w:color w:val="000000"/>
          <w:sz w:val="20"/>
          <w:szCs w:val="20"/>
        </w:rPr>
        <w:t>cert. denied,</w:t>
      </w:r>
      <w:r>
        <w:rPr>
          <w:rFonts w:ascii="Times New Roman" w:hAnsi="Times New Roman" w:cs="Times New Roman"/>
          <w:color w:val="000000"/>
          <w:sz w:val="20"/>
          <w:szCs w:val="20"/>
        </w:rPr>
        <w:t xml:space="preserve"> 296 Md. 60 (1983) (psychiatrist owed no public duty to prevent harm by failing to detain patient); </w:t>
      </w:r>
      <w:hyperlink r:id="rId30" w:history="1">
        <w:r>
          <w:rPr>
            <w:rFonts w:ascii="Times New Roman" w:hAnsi="Times New Roman" w:cs="Times New Roman"/>
            <w:i/>
            <w:iCs/>
            <w:color w:val="0000FF"/>
            <w:sz w:val="20"/>
            <w:szCs w:val="20"/>
          </w:rPr>
          <w:t>Hartford Ins. Co. v. Manor Inn,</w:t>
        </w:r>
        <w:r>
          <w:rPr>
            <w:rFonts w:ascii="Times New Roman" w:hAnsi="Times New Roman" w:cs="Times New Roman"/>
            <w:color w:val="0000FF"/>
            <w:sz w:val="20"/>
            <w:szCs w:val="20"/>
          </w:rPr>
          <w:t xml:space="preserve"> 335 Md. 135, 642 A.2d 219 (1994)</w:t>
        </w:r>
      </w:hyperlink>
      <w:r>
        <w:rPr>
          <w:rFonts w:ascii="Times New Roman" w:hAnsi="Times New Roman" w:cs="Times New Roman"/>
          <w:color w:val="000000"/>
          <w:sz w:val="20"/>
          <w:szCs w:val="20"/>
        </w:rPr>
        <w:t>.”</w:t>
      </w:r>
      <w:hyperlink r:id="rId31" w:anchor="co_pp_sp_162_639" w:history="1">
        <w:r>
          <w:rPr>
            <w:rFonts w:ascii="Times New Roman" w:hAnsi="Times New Roman" w:cs="Times New Roman"/>
            <w:i/>
            <w:iCs/>
            <w:color w:val="0000FF"/>
            <w:sz w:val="20"/>
            <w:szCs w:val="20"/>
          </w:rPr>
          <w:t>Valentine v. On Target,</w:t>
        </w:r>
        <w:r>
          <w:rPr>
            <w:rFonts w:ascii="Times New Roman" w:hAnsi="Times New Roman" w:cs="Times New Roman"/>
            <w:color w:val="0000FF"/>
            <w:sz w:val="20"/>
            <w:szCs w:val="20"/>
          </w:rPr>
          <w:t xml:space="preserve"> 112 Md.App. 679, 686, 686 A.2d 636, 639 (1996)</w:t>
        </w:r>
      </w:hyperlink>
      <w:r>
        <w:rPr>
          <w:rFonts w:ascii="Times New Roman" w:hAnsi="Times New Roman" w:cs="Times New Roman"/>
          <w:color w:val="000000"/>
          <w:sz w:val="20"/>
          <w:szCs w:val="20"/>
        </w:rPr>
        <w:t>.</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As explained by Prosser and Keeton, anticipating the actions of third parties involves the consideration of a variety of factors including who the third party is likely to be or what type of conduct one is attempting to predict.</w:t>
      </w:r>
    </w:p>
    <w:p w:rsidR="00833174" w:rsidRDefault="00F3247D">
      <w:pPr>
        <w:widowControl w:val="0"/>
        <w:autoSpaceDE w:val="0"/>
        <w:autoSpaceDN w:val="0"/>
        <w:adjustRightInd w:val="0"/>
        <w:spacing w:before="200" w:after="0" w:line="240" w:lineRule="auto"/>
        <w:ind w:left="200"/>
        <w:jc w:val="both"/>
        <w:rPr>
          <w:rFonts w:ascii="Times New Roman" w:hAnsi="Times New Roman" w:cs="Times New Roman"/>
          <w:color w:val="000000"/>
          <w:sz w:val="20"/>
          <w:szCs w:val="20"/>
        </w:rPr>
      </w:pPr>
      <w:r>
        <w:rPr>
          <w:rFonts w:ascii="Times New Roman" w:hAnsi="Times New Roman" w:cs="Times New Roman"/>
          <w:color w:val="000000"/>
          <w:sz w:val="20"/>
          <w:szCs w:val="20"/>
        </w:rPr>
        <w:t>“There is normally much less reason to anticipate acts on the part of others which are those which are merely negligent, and this is all the more true where, as is usually the case, such acts are criminal. Under all ordinary and normal circumstances, in the absence of any reason to expect the contrary, the actor may reasonably proceed upon the assumption that others will obey the criminal law....</w:t>
      </w:r>
    </w:p>
    <w:p w:rsidR="00833174" w:rsidRDefault="00F3247D">
      <w:pPr>
        <w:widowControl w:val="0"/>
        <w:autoSpaceDE w:val="0"/>
        <w:autoSpaceDN w:val="0"/>
        <w:adjustRightInd w:val="0"/>
        <w:spacing w:before="200" w:after="0" w:line="240" w:lineRule="auto"/>
        <w:ind w:left="2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There are, however, other situations, in which either a special responsibility resting upon the defendant for the protection of the plaintiff, or an especial temptation and </w:t>
      </w:r>
      <w:bookmarkStart w:id="24" w:name="co_pp_sp_536_553_1"/>
      <w:bookmarkEnd w:id="24"/>
      <w:r>
        <w:rPr>
          <w:rFonts w:ascii="Times New Roman" w:hAnsi="Times New Roman" w:cs="Times New Roman"/>
          <w:b/>
          <w:bCs/>
          <w:color w:val="000000"/>
          <w:sz w:val="20"/>
          <w:szCs w:val="20"/>
        </w:rPr>
        <w:t>*553</w:t>
      </w:r>
      <w:r>
        <w:rPr>
          <w:rFonts w:ascii="Times New Roman" w:hAnsi="Times New Roman" w:cs="Times New Roman"/>
          <w:color w:val="000000"/>
          <w:sz w:val="20"/>
          <w:szCs w:val="20"/>
        </w:rPr>
        <w:t xml:space="preserve"> opportunity for criminal misconduct brought about by the defendant, will call upon him to take precautions against it. The responsibility for protection may arise out of contract, by which the defendant has agreed to provide it; or it may be founded upon some relation existing between the parties, such as carrier and </w:t>
      </w:r>
      <w:r>
        <w:rPr>
          <w:rFonts w:ascii="Times New Roman" w:hAnsi="Times New Roman" w:cs="Times New Roman"/>
          <w:color w:val="000000"/>
          <w:sz w:val="20"/>
          <w:szCs w:val="20"/>
        </w:rPr>
        <w:lastRenderedPageBreak/>
        <w:t>passenger, innkeeper and guest, invitor and business visitor, school and pupil, employer and employee, landlord and tenant, and no doubt others.” (Footnotes omitted).</w:t>
      </w:r>
    </w:p>
    <w:p w:rsidR="00833174" w:rsidRDefault="00F3247D">
      <w:pPr>
        <w:widowControl w:val="0"/>
        <w:autoSpaceDE w:val="0"/>
        <w:autoSpaceDN w:val="0"/>
        <w:adjustRightInd w:val="0"/>
        <w:spacing w:before="20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PROSSER AND KEETON ON THE LAW OF TORTS, </w:t>
      </w:r>
      <w:r>
        <w:rPr>
          <w:rFonts w:ascii="Times New Roman" w:hAnsi="Times New Roman" w:cs="Times New Roman"/>
          <w:i/>
          <w:iCs/>
          <w:color w:val="000000"/>
          <w:sz w:val="20"/>
          <w:szCs w:val="20"/>
        </w:rPr>
        <w:t>supra</w:t>
      </w:r>
      <w:r>
        <w:rPr>
          <w:rFonts w:ascii="Times New Roman" w:hAnsi="Times New Roman" w:cs="Times New Roman"/>
          <w:color w:val="000000"/>
          <w:sz w:val="20"/>
          <w:szCs w:val="20"/>
        </w:rPr>
        <w:t xml:space="preserve"> at 356.</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One cannot be expected to owe a duty to the world at large to protect it against the actions of third parties, which is why the common law distinguishes different types of relationships when determining if a duty exists. The class of persons to whom a duty would be owed under these bare facts would encompass an indeterminate class of people, known and unknown. When balancing the burden on the shop owner with the benefit to society at large clearly this imposition of duty would be a tremendous burden on shop owners while providing only a hypothetical benefit to the public at best. This Court does not discern in the common law the existence of a third party common law duty that would apply to these facts.</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833174">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25" w:name="co_anchor_I2d6ddb0a425d11df9b8c850332338"/>
      <w:bookmarkEnd w:id="25"/>
    </w:p>
    <w:p w:rsidR="00833174" w:rsidRDefault="00F3247D">
      <w:pPr>
        <w:widowControl w:val="0"/>
        <w:autoSpaceDE w:val="0"/>
        <w:autoSpaceDN w:val="0"/>
        <w:adjustRightInd w:val="0"/>
        <w:spacing w:before="40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IV.</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Petitioner cites several cases from other jurisdictions in support of his argument that a duty exists under these circumstances. Upon an analysis of these cases we find that they are factually distinguishable from the situation in the case at bar. Furthermore, even if a factual analogy could be made, the legal rationale supporting the holdings in one of these cases cannot be reconciled with the longstanding jurisprudence of our State.</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E80489">
      <w:pPr>
        <w:widowControl w:val="0"/>
        <w:autoSpaceDE w:val="0"/>
        <w:autoSpaceDN w:val="0"/>
        <w:adjustRightInd w:val="0"/>
        <w:spacing w:after="0" w:line="240" w:lineRule="auto"/>
        <w:jc w:val="both"/>
        <w:rPr>
          <w:rFonts w:ascii="Times New Roman" w:hAnsi="Times New Roman" w:cs="Times New Roman"/>
          <w:color w:val="000000"/>
          <w:sz w:val="20"/>
          <w:szCs w:val="20"/>
        </w:rPr>
      </w:pPr>
      <w:hyperlink r:id="rId32" w:history="1">
        <w:r w:rsidR="00F3247D">
          <w:rPr>
            <w:rFonts w:ascii="Times New Roman" w:hAnsi="Times New Roman" w:cs="Times New Roman"/>
            <w:i/>
            <w:iCs/>
            <w:color w:val="0000FF"/>
            <w:sz w:val="20"/>
            <w:szCs w:val="20"/>
          </w:rPr>
          <w:t>Pavlides v. Niles Gun Show, Inc.,</w:t>
        </w:r>
        <w:r w:rsidR="00F3247D">
          <w:rPr>
            <w:rFonts w:ascii="Times New Roman" w:hAnsi="Times New Roman" w:cs="Times New Roman"/>
            <w:color w:val="0000FF"/>
            <w:sz w:val="20"/>
            <w:szCs w:val="20"/>
          </w:rPr>
          <w:t xml:space="preserve"> 93 Ohio App.3d 46, 637 N.E.2d 404 (1994)</w:t>
        </w:r>
      </w:hyperlink>
      <w:r w:rsidR="00F3247D">
        <w:rPr>
          <w:rFonts w:ascii="Times New Roman" w:hAnsi="Times New Roman" w:cs="Times New Roman"/>
          <w:color w:val="000000"/>
          <w:sz w:val="20"/>
          <w:szCs w:val="20"/>
        </w:rPr>
        <w:t xml:space="preserve"> is factually inapposite. There the defendants were sued for negligence by the victims of a shooting perpetrated by minors who stole the gun used in the shooting from a gun show operated by the defendants. Summary </w:t>
      </w:r>
      <w:bookmarkStart w:id="26" w:name="co_pp_sp_536_554_1"/>
      <w:bookmarkEnd w:id="26"/>
      <w:r w:rsidR="00F3247D">
        <w:rPr>
          <w:rFonts w:ascii="Times New Roman" w:hAnsi="Times New Roman" w:cs="Times New Roman"/>
          <w:b/>
          <w:bCs/>
          <w:color w:val="000000"/>
          <w:sz w:val="20"/>
          <w:szCs w:val="20"/>
        </w:rPr>
        <w:t>*554</w:t>
      </w:r>
      <w:r w:rsidR="00F3247D">
        <w:rPr>
          <w:rFonts w:ascii="Times New Roman" w:hAnsi="Times New Roman" w:cs="Times New Roman"/>
          <w:color w:val="000000"/>
          <w:sz w:val="20"/>
          <w:szCs w:val="20"/>
        </w:rPr>
        <w:t xml:space="preserve"> judgment was entered against the plaintiffs from which they appealed. The Court of Appeals of Ohio reversed the trial court’s granting of summary judgment in favor of the defendants, holding that there was sufficient facts alleged in the complaint to demonstrate that issues of fact needed to be resolved pertaining to whether the minor’s criminal activity was foreseeable and whether defendants’ conduct was willful and wanton misconduct.</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i/>
          <w:iCs/>
          <w:color w:val="000000"/>
          <w:sz w:val="20"/>
          <w:szCs w:val="20"/>
        </w:rPr>
      </w:pPr>
      <w:bookmarkStart w:id="27" w:name="co_pp_sp_162_952_1"/>
      <w:bookmarkEnd w:id="27"/>
      <w:r>
        <w:rPr>
          <w:rFonts w:ascii="Times New Roman" w:hAnsi="Times New Roman" w:cs="Times New Roman"/>
          <w:b/>
          <w:bCs/>
          <w:color w:val="000000"/>
          <w:sz w:val="20"/>
          <w:szCs w:val="20"/>
        </w:rPr>
        <w:t>**952</w:t>
      </w:r>
      <w:r>
        <w:rPr>
          <w:rFonts w:ascii="Times New Roman" w:hAnsi="Times New Roman" w:cs="Times New Roman"/>
          <w:color w:val="000000"/>
          <w:sz w:val="20"/>
          <w:szCs w:val="20"/>
        </w:rPr>
        <w:t xml:space="preserve"> The court in </w:t>
      </w:r>
      <w:r>
        <w:rPr>
          <w:rFonts w:ascii="Times New Roman" w:hAnsi="Times New Roman" w:cs="Times New Roman"/>
          <w:i/>
          <w:iCs/>
          <w:color w:val="000000"/>
          <w:sz w:val="20"/>
          <w:szCs w:val="20"/>
        </w:rPr>
        <w:t>Pavlides</w:t>
      </w:r>
      <w:r>
        <w:rPr>
          <w:rFonts w:ascii="Times New Roman" w:hAnsi="Times New Roman" w:cs="Times New Roman"/>
          <w:color w:val="000000"/>
          <w:sz w:val="20"/>
          <w:szCs w:val="20"/>
        </w:rPr>
        <w:t xml:space="preserve"> reasoned that considering the specific facts alleged in the complaint indicating that the defendants had knowledge of thefts from prior gun shows and had knowledge of the risks associated with allowing unsupervised minors entrance to the gun show suggested that reasonable minds could conclude that the defendants should have foreseen that there existed a substantial probability that minors would be attracted to the show and </w:t>
      </w:r>
      <w:r>
        <w:rPr>
          <w:rFonts w:ascii="Times New Roman" w:hAnsi="Times New Roman" w:cs="Times New Roman"/>
          <w:color w:val="000000"/>
          <w:sz w:val="20"/>
          <w:szCs w:val="20"/>
        </w:rPr>
        <w:lastRenderedPageBreak/>
        <w:t xml:space="preserve">would likely be lured into stealing guns. Furthermore, evidence was produced alleging that one of the gun dealers sold ammunition to one of the minor children thus bolstering the court’s holding that because reasonable minds could conclude that it was foreseeable that minor children who could easily steal guns and then successfully purchase ammunition would likely use the weapon in furtherance of criminal activity therefore, granting summary judgment was inappropriate under the facts presented. </w:t>
      </w:r>
      <w:r>
        <w:rPr>
          <w:rFonts w:ascii="Times New Roman" w:hAnsi="Times New Roman" w:cs="Times New Roman"/>
          <w:i/>
          <w:iCs/>
          <w:color w:val="000000"/>
          <w:sz w:val="20"/>
          <w:szCs w:val="20"/>
        </w:rPr>
        <w:t>Id.</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E80489">
      <w:pPr>
        <w:widowControl w:val="0"/>
        <w:autoSpaceDE w:val="0"/>
        <w:autoSpaceDN w:val="0"/>
        <w:adjustRightInd w:val="0"/>
        <w:spacing w:after="0" w:line="240" w:lineRule="auto"/>
        <w:jc w:val="both"/>
        <w:rPr>
          <w:rFonts w:ascii="Times New Roman" w:hAnsi="Times New Roman" w:cs="Times New Roman"/>
          <w:color w:val="000000"/>
          <w:sz w:val="20"/>
          <w:szCs w:val="20"/>
        </w:rPr>
      </w:pPr>
      <w:hyperlink r:id="rId33" w:history="1">
        <w:r w:rsidR="00F3247D">
          <w:rPr>
            <w:rFonts w:ascii="Times New Roman" w:hAnsi="Times New Roman" w:cs="Times New Roman"/>
            <w:i/>
            <w:iCs/>
            <w:color w:val="0000FF"/>
            <w:sz w:val="20"/>
            <w:szCs w:val="20"/>
          </w:rPr>
          <w:t>Berly v. D &amp; L Security Services and Investigations, Inc.,</w:t>
        </w:r>
        <w:r w:rsidR="00F3247D">
          <w:rPr>
            <w:rFonts w:ascii="Times New Roman" w:hAnsi="Times New Roman" w:cs="Times New Roman"/>
            <w:color w:val="0000FF"/>
            <w:sz w:val="20"/>
            <w:szCs w:val="20"/>
          </w:rPr>
          <w:t xml:space="preserve"> 876 S.W.2d, 179 (Tex.Ct.App.1994)</w:t>
        </w:r>
      </w:hyperlink>
      <w:r w:rsidR="00F3247D">
        <w:rPr>
          <w:rFonts w:ascii="Times New Roman" w:hAnsi="Times New Roman" w:cs="Times New Roman"/>
          <w:color w:val="000000"/>
          <w:sz w:val="20"/>
          <w:szCs w:val="20"/>
        </w:rPr>
        <w:t xml:space="preserve"> is also factually inapposite. In that case the plaintiff’s decedent was a clerk in a store which employed the defendant security guard service. The decedent was killed on the store premises by a shoplifter who was being pursued by defendant’s guard. The Texas court reasoned that the guard’s pursuit of the armed shoplifter increased the danger to plaintiff’s decedent and others present in the store, thereby partially creating the danger to which they were exposed.</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third case cited by the petitioner in support of his argument is </w:t>
      </w:r>
      <w:hyperlink r:id="rId34" w:history="1">
        <w:r>
          <w:rPr>
            <w:rFonts w:ascii="Times New Roman" w:hAnsi="Times New Roman" w:cs="Times New Roman"/>
            <w:i/>
            <w:iCs/>
            <w:color w:val="0000FF"/>
            <w:sz w:val="20"/>
            <w:szCs w:val="20"/>
          </w:rPr>
          <w:t>Estate of Strever v. Cline,</w:t>
        </w:r>
        <w:r>
          <w:rPr>
            <w:rFonts w:ascii="Times New Roman" w:hAnsi="Times New Roman" w:cs="Times New Roman"/>
            <w:color w:val="0000FF"/>
            <w:sz w:val="20"/>
            <w:szCs w:val="20"/>
          </w:rPr>
          <w:t xml:space="preserve"> 278 Mont. 165, 924 P.2d 666 (1996)</w:t>
        </w:r>
      </w:hyperlink>
      <w:r>
        <w:rPr>
          <w:rFonts w:ascii="Times New Roman" w:hAnsi="Times New Roman" w:cs="Times New Roman"/>
          <w:color w:val="000000"/>
          <w:sz w:val="20"/>
          <w:szCs w:val="20"/>
        </w:rPr>
        <w:t xml:space="preserve"> wherein the Supreme Court of Montana affirmed a </w:t>
      </w:r>
      <w:bookmarkStart w:id="28" w:name="co_pp_sp_536_555_1"/>
      <w:bookmarkEnd w:id="28"/>
      <w:r>
        <w:rPr>
          <w:rFonts w:ascii="Times New Roman" w:hAnsi="Times New Roman" w:cs="Times New Roman"/>
          <w:b/>
          <w:bCs/>
          <w:color w:val="000000"/>
          <w:sz w:val="20"/>
          <w:szCs w:val="20"/>
        </w:rPr>
        <w:t>*555</w:t>
      </w:r>
      <w:r>
        <w:rPr>
          <w:rFonts w:ascii="Times New Roman" w:hAnsi="Times New Roman" w:cs="Times New Roman"/>
          <w:color w:val="000000"/>
          <w:sz w:val="20"/>
          <w:szCs w:val="20"/>
        </w:rPr>
        <w:t xml:space="preserve"> summary judgment in favor of a gun owner whose stolen gun accidentally was fired, killing a minor child. While the Montana court held that a gun owner did owe a duty to the deceased minor to store his gun in a safe and reasonable manner, the court went on to hold that under the facts presented in the controversy that the intervening criminal acts of the deceased minor and his companions were superseding acts which prohibited liability by the gun owner for the injury.</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relevant facts consisted of the following; four boys, including the deceased minor who was the subject of the controversy, entered the defendant’s unlocked truck and stole several items including a handgun that was wrapped in a paper bag and stored under the seat. After one of the boys had been smoking marijuana, he was playing with the gun and in the process caused the gun to discharge hitting another boy and fatally wounding him. The court held that the defendant owed a duty not only to the minor boys who stole the gun from his truck but also “to the public in general.” </w:t>
      </w:r>
      <w:hyperlink r:id="rId35" w:anchor="co_pp_sp_661_669" w:history="1">
        <w:r>
          <w:rPr>
            <w:rFonts w:ascii="Times New Roman" w:hAnsi="Times New Roman" w:cs="Times New Roman"/>
            <w:i/>
            <w:iCs/>
            <w:color w:val="0000FF"/>
            <w:sz w:val="20"/>
            <w:szCs w:val="20"/>
          </w:rPr>
          <w:t>Id.</w:t>
        </w:r>
        <w:r>
          <w:rPr>
            <w:rFonts w:ascii="Times New Roman" w:hAnsi="Times New Roman" w:cs="Times New Roman"/>
            <w:color w:val="0000FF"/>
            <w:sz w:val="20"/>
            <w:szCs w:val="20"/>
          </w:rPr>
          <w:t xml:space="preserve"> 924 P.2d at 669</w:t>
        </w:r>
      </w:hyperlink>
      <w:r>
        <w:rPr>
          <w:rFonts w:ascii="Times New Roman" w:hAnsi="Times New Roman" w:cs="Times New Roman"/>
          <w:color w:val="000000"/>
          <w:sz w:val="20"/>
          <w:szCs w:val="20"/>
        </w:rPr>
        <w:t>.</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Supreme Court of Montana partially based its holding on their abandonment of the common law distinctions between the duty owed to invitee, licensee and trespasser and instead have “adopted a uniform standard of reasonable care under the circumstances.” </w:t>
      </w:r>
      <w:hyperlink r:id="rId36" w:anchor="co_pp_sp_661_670" w:history="1">
        <w:r>
          <w:rPr>
            <w:rFonts w:ascii="Times New Roman" w:hAnsi="Times New Roman" w:cs="Times New Roman"/>
            <w:i/>
            <w:iCs/>
            <w:color w:val="0000FF"/>
            <w:sz w:val="20"/>
            <w:szCs w:val="20"/>
          </w:rPr>
          <w:t>Id.</w:t>
        </w:r>
        <w:r>
          <w:rPr>
            <w:rFonts w:ascii="Times New Roman" w:hAnsi="Times New Roman" w:cs="Times New Roman"/>
            <w:color w:val="0000FF"/>
            <w:sz w:val="20"/>
            <w:szCs w:val="20"/>
          </w:rPr>
          <w:t xml:space="preserve"> 924 P.2d at 670.</w:t>
        </w:r>
      </w:hyperlink>
      <w:r>
        <w:rPr>
          <w:rFonts w:ascii="Times New Roman" w:hAnsi="Times New Roman" w:cs="Times New Roman"/>
          <w:color w:val="000000"/>
          <w:sz w:val="20"/>
          <w:szCs w:val="20"/>
        </w:rPr>
        <w:t xml:space="preserve"> The court reasoned that although a tortious trespass usually involves an intrusion upon land that a trespass can also be against one’s personal property. Consequently, although the boys were trespassers as to the defendant’s truck and his gun, the court focused its analysis on whether </w:t>
      </w:r>
      <w:r>
        <w:rPr>
          <w:rFonts w:ascii="Times New Roman" w:hAnsi="Times New Roman" w:cs="Times New Roman"/>
          <w:color w:val="000000"/>
          <w:sz w:val="20"/>
          <w:szCs w:val="20"/>
        </w:rPr>
        <w:lastRenderedPageBreak/>
        <w:t xml:space="preserve">the defendant exercised reasonable care instead of examining what duty should be owed to the boys based on their conduct under the circumstances. In our view, this rationale shifts the entire burden of avoiding harm to one party, the land or property owner. We cannot conclude that this is a legally sound approach when analyzing whether a common law duty is owed under these facts. The legal principle that this case stands for, that a duty may exist to the public at large without any evidence of a relationship between the parties, is simply too foreign to our well-established jurisprudence </w:t>
      </w:r>
      <w:bookmarkStart w:id="29" w:name="co_pp_sp_536_556_1"/>
      <w:bookmarkEnd w:id="29"/>
      <w:r>
        <w:rPr>
          <w:rFonts w:ascii="Times New Roman" w:hAnsi="Times New Roman" w:cs="Times New Roman"/>
          <w:b/>
          <w:bCs/>
          <w:color w:val="000000"/>
          <w:sz w:val="20"/>
          <w:szCs w:val="20"/>
        </w:rPr>
        <w:t>*556</w:t>
      </w:r>
      <w:r>
        <w:rPr>
          <w:rFonts w:ascii="Times New Roman" w:hAnsi="Times New Roman" w:cs="Times New Roman"/>
          <w:color w:val="000000"/>
          <w:sz w:val="20"/>
          <w:szCs w:val="20"/>
        </w:rPr>
        <w:t xml:space="preserve"> to sufficiently advocate a different result than the one we have reached.</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833174">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30" w:name="co_anchor_I2d6ddb0b425d11df9b8c850332338"/>
      <w:bookmarkEnd w:id="30"/>
    </w:p>
    <w:p w:rsidR="00833174" w:rsidRDefault="00F3247D">
      <w:pPr>
        <w:widowControl w:val="0"/>
        <w:autoSpaceDE w:val="0"/>
        <w:autoSpaceDN w:val="0"/>
        <w:adjustRightInd w:val="0"/>
        <w:spacing w:before="40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V.</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Extending the general duty that an actor owes to exercise reasonable care to avoid causing injury to another and applying it to the facts of this case would require that this </w:t>
      </w:r>
      <w:bookmarkStart w:id="31" w:name="co_pp_sp_162_953_1"/>
      <w:bookmarkEnd w:id="31"/>
      <w:r>
        <w:rPr>
          <w:rFonts w:ascii="Times New Roman" w:hAnsi="Times New Roman" w:cs="Times New Roman"/>
          <w:b/>
          <w:bCs/>
          <w:color w:val="000000"/>
          <w:sz w:val="20"/>
          <w:szCs w:val="20"/>
        </w:rPr>
        <w:t>**953</w:t>
      </w:r>
      <w:r>
        <w:rPr>
          <w:rFonts w:ascii="Times New Roman" w:hAnsi="Times New Roman" w:cs="Times New Roman"/>
          <w:color w:val="000000"/>
          <w:sz w:val="20"/>
          <w:szCs w:val="20"/>
        </w:rPr>
        <w:t xml:space="preserve"> Court create a completely new cause of action in this State which we do not believe is the proper course of action under these facts. We caution that the holding in this case does not mean that a gun store owner may never be held liable to another party for negligence in the display and sale of guns when that other party is injured as a result of the negligence but rather that under the specific facts alleged in this particular case no duty was owed to this petitioner’s decedent.</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Our holding that a gun store owner does not owe a duty to a third person and thus can not be held liable in negligence is best explained by public policy; that although the inherent nature of guns suggests that their use may likely result in serious personal injury or death to another this does not create a duty of gun dealers to all persons who may be subject of the harm. If we would hold today that gun merchants owe an indefinite duty to the general public effectively we would be regulating the merchants. This type of regulation is the realm of the legislature and is not appropriate as a judicial enactment.</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JUDGMENT AFFIRMED</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before="60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Concurring opinion by </w:t>
      </w:r>
      <w:hyperlink r:id="rId37" w:history="1">
        <w:r>
          <w:rPr>
            <w:rFonts w:ascii="Times New Roman" w:hAnsi="Times New Roman" w:cs="Times New Roman"/>
            <w:color w:val="0000FF"/>
            <w:sz w:val="20"/>
            <w:szCs w:val="20"/>
          </w:rPr>
          <w:t>RAKER</w:t>
        </w:r>
      </w:hyperlink>
      <w:r>
        <w:rPr>
          <w:rFonts w:ascii="Times New Roman" w:hAnsi="Times New Roman" w:cs="Times New Roman"/>
          <w:color w:val="000000"/>
          <w:sz w:val="20"/>
          <w:szCs w:val="20"/>
        </w:rPr>
        <w:t xml:space="preserve">, J., in which </w:t>
      </w:r>
      <w:hyperlink r:id="rId38" w:history="1">
        <w:r>
          <w:rPr>
            <w:rFonts w:ascii="Times New Roman" w:hAnsi="Times New Roman" w:cs="Times New Roman"/>
            <w:color w:val="0000FF"/>
            <w:sz w:val="20"/>
            <w:szCs w:val="20"/>
          </w:rPr>
          <w:t>BELL</w:t>
        </w:r>
      </w:hyperlink>
      <w:r>
        <w:rPr>
          <w:rFonts w:ascii="Times New Roman" w:hAnsi="Times New Roman" w:cs="Times New Roman"/>
          <w:color w:val="000000"/>
          <w:sz w:val="20"/>
          <w:szCs w:val="20"/>
        </w:rPr>
        <w:t xml:space="preserve">, C.J., and </w:t>
      </w:r>
      <w:hyperlink r:id="rId39" w:history="1">
        <w:r>
          <w:rPr>
            <w:rFonts w:ascii="Times New Roman" w:hAnsi="Times New Roman" w:cs="Times New Roman"/>
            <w:color w:val="0000FF"/>
            <w:sz w:val="20"/>
            <w:szCs w:val="20"/>
          </w:rPr>
          <w:t>ELDRIDGE</w:t>
        </w:r>
      </w:hyperlink>
      <w:r>
        <w:rPr>
          <w:rFonts w:ascii="Times New Roman" w:hAnsi="Times New Roman" w:cs="Times New Roman"/>
          <w:color w:val="000000"/>
          <w:sz w:val="20"/>
          <w:szCs w:val="20"/>
        </w:rPr>
        <w:t>, J., join.</w:t>
      </w:r>
    </w:p>
    <w:p w:rsidR="00833174" w:rsidRDefault="00833174">
      <w:pPr>
        <w:widowControl w:val="0"/>
        <w:autoSpaceDE w:val="0"/>
        <w:autoSpaceDN w:val="0"/>
        <w:adjustRightInd w:val="0"/>
        <w:spacing w:after="0" w:line="240" w:lineRule="auto"/>
        <w:jc w:val="both"/>
        <w:rPr>
          <w:rFonts w:ascii="Times New Roman" w:hAnsi="Times New Roman" w:cs="Times New Roman"/>
          <w:b/>
          <w:bCs/>
          <w:color w:val="252525"/>
          <w:sz w:val="20"/>
          <w:szCs w:val="20"/>
        </w:rPr>
      </w:pPr>
      <w:bookmarkStart w:id="32" w:name="co_concurrance_opinion_1"/>
      <w:bookmarkEnd w:id="32"/>
    </w:p>
    <w:p w:rsidR="00833174" w:rsidRDefault="00E80489">
      <w:pPr>
        <w:widowControl w:val="0"/>
        <w:autoSpaceDE w:val="0"/>
        <w:autoSpaceDN w:val="0"/>
        <w:adjustRightInd w:val="0"/>
        <w:spacing w:before="400" w:after="0" w:line="240" w:lineRule="auto"/>
        <w:jc w:val="both"/>
        <w:rPr>
          <w:rFonts w:ascii="Times New Roman" w:hAnsi="Times New Roman" w:cs="Times New Roman"/>
          <w:color w:val="000000"/>
          <w:sz w:val="20"/>
          <w:szCs w:val="20"/>
        </w:rPr>
      </w:pPr>
      <w:hyperlink r:id="rId40" w:history="1">
        <w:r w:rsidR="00F3247D">
          <w:rPr>
            <w:rFonts w:ascii="Times New Roman" w:hAnsi="Times New Roman" w:cs="Times New Roman"/>
            <w:color w:val="0000FF"/>
            <w:sz w:val="20"/>
            <w:szCs w:val="20"/>
          </w:rPr>
          <w:t>Raker</w:t>
        </w:r>
      </w:hyperlink>
      <w:r w:rsidR="00F3247D">
        <w:rPr>
          <w:rFonts w:ascii="Times New Roman" w:hAnsi="Times New Roman" w:cs="Times New Roman"/>
          <w:color w:val="000000"/>
          <w:sz w:val="20"/>
          <w:szCs w:val="20"/>
        </w:rPr>
        <w:t>, Judge, concurring:</w:t>
      </w:r>
    </w:p>
    <w:p w:rsidR="00833174" w:rsidRDefault="00833174">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33" w:name="co_anchor_I2d6ddb11425d11df9b8c850332338"/>
      <w:bookmarkEnd w:id="33"/>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 join in the judgment of the Court affirming the trial court’s dismissal of Petitioner’s complaint. While I agree with the majority’s reasoning with regard to the </w:t>
      </w:r>
      <w:r>
        <w:rPr>
          <w:rFonts w:ascii="Times New Roman" w:hAnsi="Times New Roman" w:cs="Times New Roman"/>
          <w:color w:val="000000"/>
          <w:sz w:val="20"/>
          <w:szCs w:val="20"/>
        </w:rPr>
        <w:lastRenderedPageBreak/>
        <w:t>insufficiency of Petitioner’s factual allegations, I take issue with those parts of the opinion which impliedly foreclose the possibility of a tort action based upon the negligence of a retail gun merchant in the keeping, display, storage, or sale of handguns.</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34" w:name="co_pp_sp_536_557_1"/>
      <w:bookmarkEnd w:id="34"/>
      <w:r>
        <w:rPr>
          <w:rFonts w:ascii="Times New Roman" w:hAnsi="Times New Roman" w:cs="Times New Roman"/>
          <w:b/>
          <w:bCs/>
          <w:color w:val="000000"/>
          <w:sz w:val="20"/>
          <w:szCs w:val="20"/>
        </w:rPr>
        <w:t>*557</w:t>
      </w:r>
      <w:r>
        <w:rPr>
          <w:rFonts w:ascii="Times New Roman" w:hAnsi="Times New Roman" w:cs="Times New Roman"/>
          <w:color w:val="000000"/>
          <w:sz w:val="20"/>
          <w:szCs w:val="20"/>
        </w:rPr>
        <w:t>The majority affirms the trial court’s dismissal of Petitioner’s complaint based on the failure to state a claim upon which relief can be granted. The majority denies relief to Petitioner on several grounds: (1) that the plaintiff failed to allege sufficient facts in the complaint upon which relief can be granted; (2) that no duty is owed to the plaintiff; and (3) that the criminal act of murder constituted an unforeseeable, intervening act that broke the chain of causation. I agree with the first conclusion, but respectfully disagree with the majority’s view that no duty is owed to the plaintiff, as well as its intimation that the theft of a handgun from a retail gun store, and the subsequent criminal misuse of that handgun are not foreseeable as a matter of law.</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 would affirm the Court of Special Appeals on the very narrow ground that the complaint fails to state any facts, beyond bald and conclusory allegations, that Respondent breached a duty of due care to Petitioner in this case. </w:t>
      </w:r>
      <w:r>
        <w:rPr>
          <w:rFonts w:ascii="Times New Roman" w:hAnsi="Times New Roman" w:cs="Times New Roman"/>
          <w:i/>
          <w:iCs/>
          <w:color w:val="000000"/>
          <w:sz w:val="20"/>
          <w:szCs w:val="20"/>
        </w:rPr>
        <w:t xml:space="preserve">See </w:t>
      </w:r>
      <w:hyperlink r:id="rId41" w:history="1">
        <w:r>
          <w:rPr>
            <w:rFonts w:ascii="Times New Roman" w:hAnsi="Times New Roman" w:cs="Times New Roman"/>
            <w:color w:val="0000FF"/>
            <w:sz w:val="20"/>
            <w:szCs w:val="20"/>
          </w:rPr>
          <w:t>Maryland Rule 2-303(b)</w:t>
        </w:r>
      </w:hyperlink>
      <w:r>
        <w:rPr>
          <w:rFonts w:ascii="Times New Roman" w:hAnsi="Times New Roman" w:cs="Times New Roman"/>
          <w:color w:val="000000"/>
          <w:sz w:val="20"/>
          <w:szCs w:val="20"/>
        </w:rPr>
        <w:t xml:space="preserve"> (A pleading shall contain statements of fact necessary to show pleader’s entitlement to relief); </w:t>
      </w:r>
      <w:hyperlink r:id="rId42" w:anchor="co_pp_sp_162_1003" w:history="1">
        <w:r>
          <w:rPr>
            <w:rFonts w:ascii="Times New Roman" w:hAnsi="Times New Roman" w:cs="Times New Roman"/>
            <w:i/>
            <w:iCs/>
            <w:color w:val="0000FF"/>
            <w:sz w:val="20"/>
            <w:szCs w:val="20"/>
          </w:rPr>
          <w:t>Scott v. Jenkins,</w:t>
        </w:r>
        <w:r>
          <w:rPr>
            <w:rFonts w:ascii="Times New Roman" w:hAnsi="Times New Roman" w:cs="Times New Roman"/>
            <w:color w:val="0000FF"/>
            <w:sz w:val="20"/>
            <w:szCs w:val="20"/>
          </w:rPr>
          <w:t xml:space="preserve"> 345 Md. 21, 28, 690 A.2d 1000, 1003 (1997)</w:t>
        </w:r>
      </w:hyperlink>
      <w:r>
        <w:rPr>
          <w:rFonts w:ascii="Times New Roman" w:hAnsi="Times New Roman" w:cs="Times New Roman"/>
          <w:color w:val="000000"/>
          <w:sz w:val="20"/>
          <w:szCs w:val="20"/>
        </w:rPr>
        <w:t xml:space="preserve"> (“[A]ny claim for relief based upon an alleged tort, intentional or non-intentional, must allege facts, if proven true, sufficient to support each and every element of the asserted claim.”).</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Writing for the Court of Special Appeals, then Chief Judge Wilner, now a member of this Court, pointed out that the complaint gives no details as to how McLeod and his confederate managed to steal the guns, how the guns were stored, what precautions Respondent had taken to secure the guns, or how the theft occurred. </w:t>
      </w:r>
      <w:hyperlink r:id="rId43" w:anchor="co_pp_sp_162_637" w:history="1">
        <w:r>
          <w:rPr>
            <w:rFonts w:ascii="Times New Roman" w:hAnsi="Times New Roman" w:cs="Times New Roman"/>
            <w:i/>
            <w:iCs/>
            <w:color w:val="0000FF"/>
            <w:sz w:val="20"/>
            <w:szCs w:val="20"/>
          </w:rPr>
          <w:t>Valentine v. On Target,</w:t>
        </w:r>
        <w:r>
          <w:rPr>
            <w:rFonts w:ascii="Times New Roman" w:hAnsi="Times New Roman" w:cs="Times New Roman"/>
            <w:color w:val="0000FF"/>
            <w:sz w:val="20"/>
            <w:szCs w:val="20"/>
          </w:rPr>
          <w:t xml:space="preserve"> 112 Md.App. 679, 682, 686 A.2d 636, 637 (1996)</w:t>
        </w:r>
      </w:hyperlink>
      <w:r>
        <w:rPr>
          <w:rFonts w:ascii="Times New Roman" w:hAnsi="Times New Roman" w:cs="Times New Roman"/>
          <w:color w:val="000000"/>
          <w:sz w:val="20"/>
          <w:szCs w:val="20"/>
        </w:rPr>
        <w:t xml:space="preserve">. Moreover, the complaint does not indicate whether McLeod was an unaccompanied minor, </w:t>
      </w:r>
      <w:hyperlink r:id="rId44" w:anchor="co_pp_sp_162_641" w:history="1">
        <w:r>
          <w:rPr>
            <w:rFonts w:ascii="Times New Roman" w:hAnsi="Times New Roman" w:cs="Times New Roman"/>
            <w:i/>
            <w:iCs/>
            <w:color w:val="0000FF"/>
            <w:sz w:val="20"/>
            <w:szCs w:val="20"/>
          </w:rPr>
          <w:t>id.</w:t>
        </w:r>
        <w:r>
          <w:rPr>
            <w:rFonts w:ascii="Times New Roman" w:hAnsi="Times New Roman" w:cs="Times New Roman"/>
            <w:color w:val="0000FF"/>
            <w:sz w:val="20"/>
            <w:szCs w:val="20"/>
          </w:rPr>
          <w:t>at 689, 686 A.2d at 641,</w:t>
        </w:r>
      </w:hyperlink>
      <w:r>
        <w:rPr>
          <w:rFonts w:ascii="Times New Roman" w:hAnsi="Times New Roman" w:cs="Times New Roman"/>
          <w:color w:val="000000"/>
          <w:sz w:val="20"/>
          <w:szCs w:val="20"/>
        </w:rPr>
        <w:t xml:space="preserve"> nor what Respondent did or did not do to prevent the theft, </w:t>
      </w:r>
      <w:hyperlink r:id="rId45" w:anchor="co_pp_sp_162_641" w:history="1">
        <w:r>
          <w:rPr>
            <w:rFonts w:ascii="Times New Roman" w:hAnsi="Times New Roman" w:cs="Times New Roman"/>
            <w:i/>
            <w:iCs/>
            <w:color w:val="0000FF"/>
            <w:sz w:val="20"/>
            <w:szCs w:val="20"/>
          </w:rPr>
          <w:t>id.,</w:t>
        </w:r>
        <w:r>
          <w:rPr>
            <w:rFonts w:ascii="Times New Roman" w:hAnsi="Times New Roman" w:cs="Times New Roman"/>
            <w:color w:val="0000FF"/>
            <w:sz w:val="20"/>
            <w:szCs w:val="20"/>
          </w:rPr>
          <w:t xml:space="preserve"> 686 A.2d at 641,</w:t>
        </w:r>
      </w:hyperlink>
      <w:r>
        <w:rPr>
          <w:rFonts w:ascii="Times New Roman" w:hAnsi="Times New Roman" w:cs="Times New Roman"/>
          <w:color w:val="000000"/>
          <w:sz w:val="20"/>
          <w:szCs w:val="20"/>
        </w:rPr>
        <w:t xml:space="preserve"> nor what more Respondent could or should have done. </w:t>
      </w:r>
      <w:hyperlink r:id="rId46" w:anchor="co_pp_sp_162_641" w:history="1">
        <w:r>
          <w:rPr>
            <w:rFonts w:ascii="Times New Roman" w:hAnsi="Times New Roman" w:cs="Times New Roman"/>
            <w:i/>
            <w:iCs/>
            <w:color w:val="0000FF"/>
            <w:sz w:val="20"/>
            <w:szCs w:val="20"/>
          </w:rPr>
          <w:t>Id.</w:t>
        </w:r>
        <w:r>
          <w:rPr>
            <w:rFonts w:ascii="Times New Roman" w:hAnsi="Times New Roman" w:cs="Times New Roman"/>
            <w:color w:val="0000FF"/>
            <w:sz w:val="20"/>
            <w:szCs w:val="20"/>
          </w:rPr>
          <w:t xml:space="preserve"> at 691, 686 A.2d at 641.</w:t>
        </w:r>
      </w:hyperlink>
      <w:r>
        <w:rPr>
          <w:rFonts w:ascii="Times New Roman" w:hAnsi="Times New Roman" w:cs="Times New Roman"/>
          <w:color w:val="000000"/>
          <w:sz w:val="20"/>
          <w:szCs w:val="20"/>
        </w:rPr>
        <w:t xml:space="preserve"> The intermediate appellate court therefore emphasized that “[t]o extend liability to the general public</w:t>
      </w:r>
      <w:r>
        <w:rPr>
          <w:rFonts w:ascii="Times New Roman" w:hAnsi="Times New Roman" w:cs="Times New Roman"/>
          <w:i/>
          <w:iCs/>
          <w:color w:val="000000"/>
          <w:sz w:val="20"/>
          <w:szCs w:val="20"/>
        </w:rPr>
        <w:t xml:space="preserve"> on these facts, or lack of them,</w:t>
      </w:r>
      <w:r>
        <w:rPr>
          <w:rFonts w:ascii="Times New Roman" w:hAnsi="Times New Roman" w:cs="Times New Roman"/>
          <w:color w:val="000000"/>
          <w:sz w:val="20"/>
          <w:szCs w:val="20"/>
        </w:rPr>
        <w:t xml:space="preserve"> would effectively create a doctrine of absolute liability....” </w:t>
      </w:r>
      <w:hyperlink r:id="rId47" w:anchor="co_pp_sp_162_641" w:history="1">
        <w:r>
          <w:rPr>
            <w:rFonts w:ascii="Times New Roman" w:hAnsi="Times New Roman" w:cs="Times New Roman"/>
            <w:i/>
            <w:iCs/>
            <w:color w:val="0000FF"/>
            <w:sz w:val="20"/>
            <w:szCs w:val="20"/>
          </w:rPr>
          <w:t>Id.,</w:t>
        </w:r>
        <w:r>
          <w:rPr>
            <w:rFonts w:ascii="Times New Roman" w:hAnsi="Times New Roman" w:cs="Times New Roman"/>
            <w:color w:val="0000FF"/>
            <w:sz w:val="20"/>
            <w:szCs w:val="20"/>
          </w:rPr>
          <w:t xml:space="preserve"> 686 A.2d at 641</w:t>
        </w:r>
      </w:hyperlink>
      <w:r>
        <w:rPr>
          <w:rFonts w:ascii="Times New Roman" w:hAnsi="Times New Roman" w:cs="Times New Roman"/>
          <w:color w:val="000000"/>
          <w:sz w:val="20"/>
          <w:szCs w:val="20"/>
        </w:rPr>
        <w:t>.</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For the reason-and only for the reason-that Petitioner failed to sufficiently plead the facts necessary to state a cause of action in negligence against Respondent, I would affirm the judgment dismissing the complaint. Because, however, the majority opinion ventures beyond that which is necessary to decide the instant case, I feel compelled to respectfully dissent from its reasoning beyond the issue of </w:t>
      </w:r>
      <w:r>
        <w:rPr>
          <w:rFonts w:ascii="Times New Roman" w:hAnsi="Times New Roman" w:cs="Times New Roman"/>
          <w:color w:val="000000"/>
          <w:sz w:val="20"/>
          <w:szCs w:val="20"/>
        </w:rPr>
        <w:lastRenderedPageBreak/>
        <w:t>factual insufficiency.</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35" w:name="co_pp_sp_536_560_1"/>
      <w:bookmarkEnd w:id="35"/>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Policy considerations are important in deciding whether a duty of care exists. The relevant policy considerations include (1) the moral blame attached to the defendant’s conduct, (2) a desire to prevent future harm, (3) the extent of the burden on the defendant and the consequences to the community of imposing a duty to exercise care, and (4) the availability, cost and prevalence of insurance.</w:t>
      </w:r>
      <w:r>
        <w:rPr>
          <w:rFonts w:ascii="Times New Roman" w:hAnsi="Times New Roman" w:cs="Times New Roman"/>
          <w:i/>
          <w:iCs/>
          <w:color w:val="000000"/>
          <w:sz w:val="20"/>
          <w:szCs w:val="20"/>
        </w:rPr>
        <w:t xml:space="preserve"> See </w:t>
      </w:r>
      <w:hyperlink r:id="rId48" w:anchor="co_pp_sp_162_1131" w:history="1">
        <w:r>
          <w:rPr>
            <w:rFonts w:ascii="Times New Roman" w:hAnsi="Times New Roman" w:cs="Times New Roman"/>
            <w:i/>
            <w:iCs/>
            <w:color w:val="0000FF"/>
            <w:sz w:val="20"/>
            <w:szCs w:val="20"/>
          </w:rPr>
          <w:t>Village of Cross Keys,</w:t>
        </w:r>
        <w:r>
          <w:rPr>
            <w:rFonts w:ascii="Times New Roman" w:hAnsi="Times New Roman" w:cs="Times New Roman"/>
            <w:color w:val="0000FF"/>
            <w:sz w:val="20"/>
            <w:szCs w:val="20"/>
          </w:rPr>
          <w:t xml:space="preserve"> 315 Md. at 752, 556 A.2d at 1131</w:t>
        </w:r>
      </w:hyperlink>
      <w:r>
        <w:rPr>
          <w:rFonts w:ascii="Times New Roman" w:hAnsi="Times New Roman" w:cs="Times New Roman"/>
          <w:color w:val="000000"/>
          <w:sz w:val="20"/>
          <w:szCs w:val="20"/>
        </w:rPr>
        <w:t xml:space="preserve"> (citing </w:t>
      </w:r>
      <w:hyperlink r:id="rId49" w:anchor="co_pp_sp_661_342" w:history="1">
        <w:r>
          <w:rPr>
            <w:rFonts w:ascii="Times New Roman" w:hAnsi="Times New Roman" w:cs="Times New Roman"/>
            <w:i/>
            <w:iCs/>
            <w:color w:val="0000FF"/>
            <w:sz w:val="20"/>
            <w:szCs w:val="20"/>
          </w:rPr>
          <w:t>Tarasoff v. Regents of University of California,</w:t>
        </w:r>
        <w:r>
          <w:rPr>
            <w:rFonts w:ascii="Times New Roman" w:hAnsi="Times New Roman" w:cs="Times New Roman"/>
            <w:color w:val="0000FF"/>
            <w:sz w:val="20"/>
            <w:szCs w:val="20"/>
          </w:rPr>
          <w:t xml:space="preserve"> 17 Cal.3d 425, 131 Cal.Rptr. 14, 551 P.2d 334, 342 (1976)</w:t>
        </w:r>
      </w:hyperlink>
      <w:r>
        <w:rPr>
          <w:rFonts w:ascii="Times New Roman" w:hAnsi="Times New Roman" w:cs="Times New Roman"/>
          <w:color w:val="000000"/>
          <w:sz w:val="20"/>
          <w:szCs w:val="20"/>
        </w:rPr>
        <w:t xml:space="preserve">). Accordingly, in a case involving the </w:t>
      </w:r>
      <w:bookmarkStart w:id="36" w:name="co_pp_sp_536_564_1"/>
      <w:bookmarkEnd w:id="36"/>
      <w:r>
        <w:rPr>
          <w:rFonts w:ascii="Times New Roman" w:hAnsi="Times New Roman" w:cs="Times New Roman"/>
          <w:b/>
          <w:bCs/>
          <w:color w:val="000000"/>
          <w:sz w:val="20"/>
          <w:szCs w:val="20"/>
        </w:rPr>
        <w:t>*564</w:t>
      </w:r>
      <w:r>
        <w:rPr>
          <w:rFonts w:ascii="Times New Roman" w:hAnsi="Times New Roman" w:cs="Times New Roman"/>
          <w:color w:val="000000"/>
          <w:sz w:val="20"/>
          <w:szCs w:val="20"/>
        </w:rPr>
        <w:t xml:space="preserve"> death of a minor shot with a gun stolen from the unlocked truck of the defendant, the Montana Supreme Court found that the existence of a duty of care on the part of the original gun owner depends upon “the foreseeability of the risk and upon a weighing of policy considerations for and against the imposition of liability.” </w:t>
      </w:r>
      <w:hyperlink r:id="rId50" w:anchor="co_pp_sp_661_670" w:history="1">
        <w:r>
          <w:rPr>
            <w:rFonts w:ascii="Times New Roman" w:hAnsi="Times New Roman" w:cs="Times New Roman"/>
            <w:i/>
            <w:iCs/>
            <w:color w:val="0000FF"/>
            <w:sz w:val="20"/>
            <w:szCs w:val="20"/>
          </w:rPr>
          <w:t>Estate of Strever v. Cline,</w:t>
        </w:r>
        <w:r>
          <w:rPr>
            <w:rFonts w:ascii="Times New Roman" w:hAnsi="Times New Roman" w:cs="Times New Roman"/>
            <w:color w:val="0000FF"/>
            <w:sz w:val="20"/>
            <w:szCs w:val="20"/>
          </w:rPr>
          <w:t xml:space="preserve"> 278 Mont. 165, 924 P.2d 666, 670 (1996)</w:t>
        </w:r>
      </w:hyperlink>
      <w:r>
        <w:rPr>
          <w:rFonts w:ascii="Times New Roman" w:hAnsi="Times New Roman" w:cs="Times New Roman"/>
          <w:color w:val="000000"/>
          <w:sz w:val="20"/>
          <w:szCs w:val="20"/>
        </w:rPr>
        <w:t xml:space="preserve"> (citation omitted).</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federal government and the State of Maryland have enacted elaborate statutory </w:t>
      </w:r>
      <w:bookmarkStart w:id="37" w:name="co_pp_sp_162_957_1"/>
      <w:bookmarkEnd w:id="37"/>
      <w:r>
        <w:rPr>
          <w:rFonts w:ascii="Times New Roman" w:hAnsi="Times New Roman" w:cs="Times New Roman"/>
          <w:b/>
          <w:bCs/>
          <w:color w:val="000000"/>
          <w:sz w:val="20"/>
          <w:szCs w:val="20"/>
        </w:rPr>
        <w:t>**957</w:t>
      </w:r>
      <w:r>
        <w:rPr>
          <w:rFonts w:ascii="Times New Roman" w:hAnsi="Times New Roman" w:cs="Times New Roman"/>
          <w:color w:val="000000"/>
          <w:sz w:val="20"/>
          <w:szCs w:val="20"/>
        </w:rPr>
        <w:t xml:space="preserve"> schemes designed to regulate the transfer of handguns. Passed by Congress in 1968, the Omnibus Crime Control and Safe Streets Act, among other things, prohibits possession of all firearms in or affecting interstate commerce by persons with a felony conviction. </w:t>
      </w:r>
      <w:r>
        <w:rPr>
          <w:rFonts w:ascii="Times New Roman" w:hAnsi="Times New Roman" w:cs="Times New Roman"/>
          <w:i/>
          <w:iCs/>
          <w:color w:val="000000"/>
          <w:sz w:val="20"/>
          <w:szCs w:val="20"/>
        </w:rPr>
        <w:t>See</w:t>
      </w:r>
      <w:hyperlink r:id="rId51" w:anchor="co_pp_4d690000c9482" w:history="1">
        <w:r>
          <w:rPr>
            <w:rFonts w:ascii="Times New Roman" w:hAnsi="Times New Roman" w:cs="Times New Roman"/>
            <w:color w:val="0000FF"/>
            <w:sz w:val="20"/>
            <w:szCs w:val="20"/>
          </w:rPr>
          <w:t>18 U.S.C. § 922(g)(1)</w:t>
        </w:r>
      </w:hyperlink>
      <w:r>
        <w:rPr>
          <w:rFonts w:ascii="Times New Roman" w:hAnsi="Times New Roman" w:cs="Times New Roman"/>
          <w:color w:val="000000"/>
          <w:sz w:val="20"/>
          <w:szCs w:val="20"/>
        </w:rPr>
        <w:t>. The General Assembly has likewise restricted the purchase, rental, or transfer of regulated firearms to certain classes of persons. Article 27, § 442. The purpose of this legislation is to control and, if possible, eliminate gun violence. As discerned by this Court, it has been the public policy of this State, and the “dominant purpose” of the Legislature’s enactment of Article 27, § 36B,</w:t>
      </w:r>
      <w:bookmarkStart w:id="38" w:name="co_footnoteReference_B00331999103761_ID0"/>
      <w:bookmarkEnd w:id="38"/>
      <w:r w:rsidR="00E80489">
        <w:rPr>
          <w:rFonts w:ascii="Times New Roman" w:hAnsi="Times New Roman" w:cs="Times New Roman"/>
          <w:color w:val="000000"/>
          <w:sz w:val="16"/>
          <w:szCs w:val="16"/>
        </w:rPr>
        <w:fldChar w:fldCharType="begin"/>
      </w:r>
      <w:r>
        <w:rPr>
          <w:rFonts w:ascii="Times New Roman" w:hAnsi="Times New Roman" w:cs="Times New Roman"/>
          <w:color w:val="000000"/>
          <w:sz w:val="16"/>
          <w:szCs w:val="16"/>
        </w:rPr>
        <w:instrText xml:space="preserve">HYPERLINK "#co_footnote_B00331999103761_1" </w:instrText>
      </w:r>
      <w:r w:rsidR="00E80489">
        <w:rPr>
          <w:rFonts w:ascii="Times New Roman" w:hAnsi="Times New Roman" w:cs="Times New Roman"/>
          <w:color w:val="000000"/>
          <w:sz w:val="16"/>
          <w:szCs w:val="16"/>
        </w:rPr>
        <w:fldChar w:fldCharType="separate"/>
      </w:r>
      <w:r>
        <w:rPr>
          <w:rFonts w:ascii="Times New Roman" w:hAnsi="Times New Roman" w:cs="Times New Roman"/>
          <w:color w:val="0000FF"/>
          <w:sz w:val="16"/>
          <w:szCs w:val="16"/>
          <w:vertAlign w:val="superscript"/>
        </w:rPr>
        <w:t>3</w:t>
      </w:r>
      <w:r w:rsidR="00E80489">
        <w:rPr>
          <w:rFonts w:ascii="Times New Roman" w:hAnsi="Times New Roman" w:cs="Times New Roman"/>
          <w:color w:val="000000"/>
          <w:sz w:val="16"/>
          <w:szCs w:val="16"/>
        </w:rPr>
        <w:fldChar w:fldCharType="end"/>
      </w:r>
      <w:r>
        <w:rPr>
          <w:rFonts w:ascii="Times New Roman" w:hAnsi="Times New Roman" w:cs="Times New Roman"/>
          <w:color w:val="000000"/>
          <w:sz w:val="20"/>
          <w:szCs w:val="20"/>
        </w:rPr>
        <w:t xml:space="preserve"> “to stop the alarming rise in the use of handguns in the commission of crimes of violence.” </w:t>
      </w:r>
      <w:hyperlink r:id="rId52" w:anchor="co_pp_sp_162_368" w:history="1">
        <w:r>
          <w:rPr>
            <w:rFonts w:ascii="Times New Roman" w:hAnsi="Times New Roman" w:cs="Times New Roman"/>
            <w:i/>
            <w:iCs/>
            <w:color w:val="0000FF"/>
            <w:sz w:val="20"/>
            <w:szCs w:val="20"/>
          </w:rPr>
          <w:t>Dillon v. State,</w:t>
        </w:r>
        <w:r>
          <w:rPr>
            <w:rFonts w:ascii="Times New Roman" w:hAnsi="Times New Roman" w:cs="Times New Roman"/>
            <w:color w:val="0000FF"/>
            <w:sz w:val="20"/>
            <w:szCs w:val="20"/>
          </w:rPr>
          <w:t xml:space="preserve"> 277 Md. 571, 584, 357 A.2d 360, 368 (1976)</w:t>
        </w:r>
      </w:hyperlink>
      <w:r>
        <w:rPr>
          <w:rFonts w:ascii="Times New Roman" w:hAnsi="Times New Roman" w:cs="Times New Roman"/>
          <w:color w:val="000000"/>
          <w:sz w:val="20"/>
          <w:szCs w:val="20"/>
        </w:rPr>
        <w:t xml:space="preserve"> (citation omitted). </w:t>
      </w:r>
      <w:r>
        <w:rPr>
          <w:rFonts w:ascii="Times New Roman" w:hAnsi="Times New Roman" w:cs="Times New Roman"/>
          <w:i/>
          <w:iCs/>
          <w:color w:val="000000"/>
          <w:sz w:val="20"/>
          <w:szCs w:val="20"/>
        </w:rPr>
        <w:t xml:space="preserve">See also </w:t>
      </w:r>
      <w:hyperlink r:id="rId53" w:anchor="co_pp_sp_162_534" w:history="1">
        <w:r>
          <w:rPr>
            <w:rFonts w:ascii="Times New Roman" w:hAnsi="Times New Roman" w:cs="Times New Roman"/>
            <w:i/>
            <w:iCs/>
            <w:color w:val="0000FF"/>
            <w:sz w:val="20"/>
            <w:szCs w:val="20"/>
          </w:rPr>
          <w:t>Eldridge v. State,</w:t>
        </w:r>
        <w:r>
          <w:rPr>
            <w:rFonts w:ascii="Times New Roman" w:hAnsi="Times New Roman" w:cs="Times New Roman"/>
            <w:color w:val="0000FF"/>
            <w:sz w:val="20"/>
            <w:szCs w:val="20"/>
          </w:rPr>
          <w:t xml:space="preserve"> 329 Md. 307, 313, 619 A.2d 531, 534 (1993)</w:t>
        </w:r>
      </w:hyperlink>
      <w:r>
        <w:rPr>
          <w:rFonts w:ascii="Times New Roman" w:hAnsi="Times New Roman" w:cs="Times New Roman"/>
          <w:color w:val="000000"/>
          <w:sz w:val="20"/>
          <w:szCs w:val="20"/>
        </w:rPr>
        <w:t xml:space="preserve"> (reiterating in reference to the passage of § 36B in 1972 “that the Legislature[,] spurred by a dramatic increase in the number of crimes perpetrated with handguns and a concomitant increase in the number of deaths and injuries caused by persons carrying handguns on the streets who were inclined to use them in criminal activity, enacted strong handgun control legislation.” (internal quotation marks and citations omitted)). Accordingly, the State has a strong interest in preventing theft of handguns by those persons that are ineligible to buy guns.</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In Maryland, a person may not legally purchase a firearm unless that person is at least 21 years of age, Article 27, </w:t>
      </w:r>
      <w:bookmarkStart w:id="39" w:name="co_pp_sp_536_565_1"/>
      <w:bookmarkEnd w:id="39"/>
      <w:r>
        <w:rPr>
          <w:rFonts w:ascii="Times New Roman" w:hAnsi="Times New Roman" w:cs="Times New Roman"/>
          <w:b/>
          <w:bCs/>
          <w:color w:val="000000"/>
          <w:sz w:val="20"/>
          <w:szCs w:val="20"/>
        </w:rPr>
        <w:t>*565</w:t>
      </w:r>
      <w:r>
        <w:rPr>
          <w:rFonts w:ascii="Times New Roman" w:hAnsi="Times New Roman" w:cs="Times New Roman"/>
          <w:color w:val="000000"/>
          <w:sz w:val="20"/>
          <w:szCs w:val="20"/>
        </w:rPr>
        <w:t xml:space="preserve"> § 442(h)(2)(vi), and has not been convicted of a crime of violence, a felony or a misdemeanor that carries a statutory penalty of more than two years.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(h)(2)(i)(1)-(3). The purchaser of a firearm may not be a </w:t>
      </w:r>
      <w:r>
        <w:rPr>
          <w:rFonts w:ascii="Times New Roman" w:hAnsi="Times New Roman" w:cs="Times New Roman"/>
          <w:color w:val="000000"/>
          <w:sz w:val="20"/>
          <w:szCs w:val="20"/>
        </w:rPr>
        <w:lastRenderedPageBreak/>
        <w:t xml:space="preserve">fugitive from justice, a habitual drunkard or an addict or habitual user of any controlled dangerous substances.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(h)(2)(ii)-(iv). Finally, the purchaser cannot have spent more than thirty consecutive days in any medical institution for treatment of a mental disorder unless certified by a physician as capable of safely possessing a firearm,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at (h)(2)(v), nor be a respondent against whom a current non ex parte civil protective order has been entered under </w:t>
      </w:r>
      <w:hyperlink r:id="rId54" w:history="1">
        <w:r>
          <w:rPr>
            <w:rFonts w:ascii="Times New Roman" w:hAnsi="Times New Roman" w:cs="Times New Roman"/>
            <w:color w:val="0000FF"/>
            <w:sz w:val="20"/>
            <w:szCs w:val="20"/>
          </w:rPr>
          <w:t>§ 4-506 of the Family Law Article</w:t>
        </w:r>
      </w:hyperlink>
      <w:r>
        <w:rPr>
          <w:rFonts w:ascii="Times New Roman" w:hAnsi="Times New Roman" w:cs="Times New Roman"/>
          <w:color w:val="000000"/>
          <w:sz w:val="20"/>
          <w:szCs w:val="20"/>
        </w:rPr>
        <w:t xml:space="preserve"> (1984, 1999 Repl.Vol.) of the Maryland Code. </w:t>
      </w:r>
      <w:r>
        <w:rPr>
          <w:rFonts w:ascii="Times New Roman" w:hAnsi="Times New Roman" w:cs="Times New Roman"/>
          <w:i/>
          <w:iCs/>
          <w:color w:val="000000"/>
          <w:sz w:val="20"/>
          <w:szCs w:val="20"/>
        </w:rPr>
        <w:t>Id.</w:t>
      </w:r>
      <w:r>
        <w:rPr>
          <w:rFonts w:ascii="Times New Roman" w:hAnsi="Times New Roman" w:cs="Times New Roman"/>
          <w:color w:val="000000"/>
          <w:sz w:val="20"/>
          <w:szCs w:val="20"/>
        </w:rPr>
        <w:t xml:space="preserve"> at (h)(2)(vii). In addition, a gun owner in Maryland who fails to secure adequately a firearm in a manner which would reasonably prevent possession by an unsupervised minor is subject to criminal liability. </w:t>
      </w:r>
      <w:r>
        <w:rPr>
          <w:rFonts w:ascii="Times New Roman" w:hAnsi="Times New Roman" w:cs="Times New Roman"/>
          <w:i/>
          <w:iCs/>
          <w:color w:val="000000"/>
          <w:sz w:val="20"/>
          <w:szCs w:val="20"/>
        </w:rPr>
        <w:t>See</w:t>
      </w:r>
      <w:r>
        <w:rPr>
          <w:rFonts w:ascii="Times New Roman" w:hAnsi="Times New Roman" w:cs="Times New Roman"/>
          <w:color w:val="000000"/>
          <w:sz w:val="20"/>
          <w:szCs w:val="20"/>
        </w:rPr>
        <w:t xml:space="preserve"> Article 27, § 36K.</w:t>
      </w:r>
      <w:bookmarkStart w:id="40" w:name="co_footnoteReference_B00441999103761_ID0"/>
      <w:bookmarkEnd w:id="40"/>
      <w:r w:rsidR="00E80489">
        <w:rPr>
          <w:rFonts w:ascii="Times New Roman" w:hAnsi="Times New Roman" w:cs="Times New Roman"/>
          <w:color w:val="000000"/>
          <w:sz w:val="16"/>
          <w:szCs w:val="16"/>
        </w:rPr>
        <w:fldChar w:fldCharType="begin"/>
      </w:r>
      <w:r>
        <w:rPr>
          <w:rFonts w:ascii="Times New Roman" w:hAnsi="Times New Roman" w:cs="Times New Roman"/>
          <w:color w:val="000000"/>
          <w:sz w:val="16"/>
          <w:szCs w:val="16"/>
        </w:rPr>
        <w:instrText xml:space="preserve">HYPERLINK "#co_footnote_B00441999103761_1" </w:instrText>
      </w:r>
      <w:r w:rsidR="00E80489">
        <w:rPr>
          <w:rFonts w:ascii="Times New Roman" w:hAnsi="Times New Roman" w:cs="Times New Roman"/>
          <w:color w:val="000000"/>
          <w:sz w:val="16"/>
          <w:szCs w:val="16"/>
        </w:rPr>
        <w:fldChar w:fldCharType="separate"/>
      </w:r>
      <w:r>
        <w:rPr>
          <w:rFonts w:ascii="Times New Roman" w:hAnsi="Times New Roman" w:cs="Times New Roman"/>
          <w:color w:val="0000FF"/>
          <w:sz w:val="16"/>
          <w:szCs w:val="16"/>
          <w:vertAlign w:val="superscript"/>
        </w:rPr>
        <w:t>4</w:t>
      </w:r>
      <w:r w:rsidR="00E80489">
        <w:rPr>
          <w:rFonts w:ascii="Times New Roman" w:hAnsi="Times New Roman" w:cs="Times New Roman"/>
          <w:color w:val="000000"/>
          <w:sz w:val="16"/>
          <w:szCs w:val="16"/>
        </w:rPr>
        <w:fldChar w:fldCharType="end"/>
      </w:r>
      <w:r>
        <w:rPr>
          <w:rFonts w:ascii="Times New Roman" w:hAnsi="Times New Roman" w:cs="Times New Roman"/>
          <w:color w:val="000000"/>
          <w:sz w:val="20"/>
          <w:szCs w:val="20"/>
        </w:rPr>
        <w:t xml:space="preserve"> In weighing the benefits against the burdens, dealers faced with the prospect of liability in tort for negligent storage of handguns will be more careful in the storage of those guns held out for sale to the general public. </w:t>
      </w:r>
      <w:r>
        <w:rPr>
          <w:rFonts w:ascii="Times New Roman" w:hAnsi="Times New Roman" w:cs="Times New Roman"/>
          <w:i/>
          <w:iCs/>
          <w:color w:val="000000"/>
          <w:sz w:val="20"/>
          <w:szCs w:val="20"/>
        </w:rPr>
        <w:t xml:space="preserve">Cf. </w:t>
      </w:r>
      <w:r>
        <w:rPr>
          <w:rFonts w:ascii="Times New Roman" w:hAnsi="Times New Roman" w:cs="Times New Roman"/>
          <w:color w:val="000000"/>
          <w:sz w:val="20"/>
          <w:szCs w:val="20"/>
        </w:rPr>
        <w:t xml:space="preserve">Markus Boser, Note, </w:t>
      </w:r>
      <w:r>
        <w:rPr>
          <w:rFonts w:ascii="Times New Roman" w:hAnsi="Times New Roman" w:cs="Times New Roman"/>
          <w:i/>
          <w:iCs/>
          <w:color w:val="000000"/>
          <w:sz w:val="20"/>
          <w:szCs w:val="20"/>
        </w:rPr>
        <w:t>Go Ahead, State, Make Them Pay: An Analysis of Washington D.C.’s Assault Weapon Manufacturing Strict Liability Act,</w:t>
      </w:r>
      <w:r>
        <w:rPr>
          <w:rFonts w:ascii="Times New Roman" w:hAnsi="Times New Roman" w:cs="Times New Roman"/>
          <w:color w:val="000000"/>
          <w:sz w:val="20"/>
          <w:szCs w:val="20"/>
        </w:rPr>
        <w:t xml:space="preserve"> 25 COLUM. J.L. &amp; SOC. PROBS. 313, 337 (1992))) (arguing that firearms dealers faced with prospect of unlimited liability from stolen handgun have additional incentive to prevent theft, and would guard inventory much more carefully than if simply protecting stock).</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A26DB" w:rsidRDefault="00F3247D" w:rsidP="008A26DB">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Interwoven in its conclusion that no duty existed, the majority also essentially concludes that Respondent’s actions (or </w:t>
      </w:r>
      <w:bookmarkStart w:id="41" w:name="co_pp_sp_536_566_1"/>
      <w:bookmarkEnd w:id="41"/>
      <w:r>
        <w:rPr>
          <w:rFonts w:ascii="Times New Roman" w:hAnsi="Times New Roman" w:cs="Times New Roman"/>
          <w:b/>
          <w:bCs/>
          <w:color w:val="000000"/>
          <w:sz w:val="20"/>
          <w:szCs w:val="20"/>
        </w:rPr>
        <w:t>*566</w:t>
      </w:r>
      <w:r>
        <w:rPr>
          <w:rFonts w:ascii="Times New Roman" w:hAnsi="Times New Roman" w:cs="Times New Roman"/>
          <w:color w:val="000000"/>
          <w:sz w:val="20"/>
          <w:szCs w:val="20"/>
        </w:rPr>
        <w:t xml:space="preserve"> inactions) are not the proximate cause of the injuries of Petitioner’s decedent. Maj. op. at 949. I disagree. Generally, intervening acts of third parties will sever the chain of causation necessary to find negligence. If, however, the intervening negligent act was foreseeable, the original negligent actor is not freed from liability. </w:t>
      </w:r>
      <w:r>
        <w:rPr>
          <w:rFonts w:ascii="Times New Roman" w:hAnsi="Times New Roman" w:cs="Times New Roman"/>
          <w:i/>
          <w:iCs/>
          <w:color w:val="000000"/>
          <w:sz w:val="20"/>
          <w:szCs w:val="20"/>
        </w:rPr>
        <w:t xml:space="preserve">See </w:t>
      </w:r>
      <w:hyperlink r:id="rId55" w:anchor="co_pp_sp_162_135" w:history="1">
        <w:r>
          <w:rPr>
            <w:rFonts w:ascii="Times New Roman" w:hAnsi="Times New Roman" w:cs="Times New Roman"/>
            <w:i/>
            <w:iCs/>
            <w:color w:val="0000FF"/>
            <w:sz w:val="20"/>
            <w:szCs w:val="20"/>
          </w:rPr>
          <w:t>Matthews,</w:t>
        </w:r>
        <w:r>
          <w:rPr>
            <w:rFonts w:ascii="Times New Roman" w:hAnsi="Times New Roman" w:cs="Times New Roman"/>
            <w:color w:val="0000FF"/>
            <w:sz w:val="20"/>
            <w:szCs w:val="20"/>
          </w:rPr>
          <w:t xml:space="preserve"> 351 Md. at 578-79, 719 A.2d at 135-36;</w:t>
        </w:r>
      </w:hyperlink>
      <w:r>
        <w:rPr>
          <w:rFonts w:ascii="Times New Roman" w:hAnsi="Times New Roman" w:cs="Times New Roman"/>
          <w:i/>
          <w:iCs/>
          <w:color w:val="000000"/>
          <w:sz w:val="20"/>
          <w:szCs w:val="20"/>
        </w:rPr>
        <w:t>BG &amp;</w:t>
      </w:r>
      <w:hyperlink r:id="rId56" w:anchor="co_pp_sp_162_316" w:history="1">
        <w:r>
          <w:rPr>
            <w:rFonts w:ascii="Times New Roman" w:hAnsi="Times New Roman" w:cs="Times New Roman"/>
            <w:i/>
            <w:iCs/>
            <w:color w:val="0000FF"/>
            <w:sz w:val="20"/>
            <w:szCs w:val="20"/>
          </w:rPr>
          <w:t>E v. Lane,</w:t>
        </w:r>
        <w:r>
          <w:rPr>
            <w:rFonts w:ascii="Times New Roman" w:hAnsi="Times New Roman" w:cs="Times New Roman"/>
            <w:color w:val="0000FF"/>
            <w:sz w:val="20"/>
            <w:szCs w:val="20"/>
          </w:rPr>
          <w:t xml:space="preserve"> 338 Md. 34, 52, 656 A.2d 307, 316 (1995)</w:t>
        </w:r>
      </w:hyperlink>
      <w:r>
        <w:rPr>
          <w:rFonts w:ascii="Times New Roman" w:hAnsi="Times New Roman" w:cs="Times New Roman"/>
          <w:color w:val="000000"/>
          <w:sz w:val="20"/>
          <w:szCs w:val="20"/>
        </w:rPr>
        <w:t xml:space="preserve"> (“[T]he intervening negligence is not a superseding cause if it is reasonably foreseeable.”); </w:t>
      </w:r>
      <w:bookmarkStart w:id="42" w:name="co_pp_sp_162_958_1"/>
      <w:bookmarkEnd w:id="42"/>
      <w:r>
        <w:rPr>
          <w:rFonts w:ascii="Times New Roman" w:hAnsi="Times New Roman" w:cs="Times New Roman"/>
          <w:b/>
          <w:bCs/>
          <w:color w:val="000000"/>
          <w:sz w:val="20"/>
          <w:szCs w:val="20"/>
        </w:rPr>
        <w:t>**958</w:t>
      </w:r>
      <w:hyperlink r:id="rId57" w:anchor="co_pp_sp_161_414" w:history="1">
        <w:r>
          <w:rPr>
            <w:rFonts w:ascii="Times New Roman" w:hAnsi="Times New Roman" w:cs="Times New Roman"/>
            <w:i/>
            <w:iCs/>
            <w:color w:val="0000FF"/>
            <w:sz w:val="20"/>
            <w:szCs w:val="20"/>
          </w:rPr>
          <w:t>Penn. Steel Co. v. Wilkinson,</w:t>
        </w:r>
        <w:r>
          <w:rPr>
            <w:rFonts w:ascii="Times New Roman" w:hAnsi="Times New Roman" w:cs="Times New Roman"/>
            <w:color w:val="0000FF"/>
            <w:sz w:val="20"/>
            <w:szCs w:val="20"/>
          </w:rPr>
          <w:t xml:space="preserve"> 107 Md. 574, 581-82, 69 A. 412, 414-15 (1908)</w:t>
        </w:r>
      </w:hyperlink>
      <w:r>
        <w:rPr>
          <w:rFonts w:ascii="Times New Roman" w:hAnsi="Times New Roman" w:cs="Times New Roman"/>
          <w:color w:val="000000"/>
          <w:sz w:val="20"/>
          <w:szCs w:val="20"/>
        </w:rPr>
        <w:t xml:space="preserve">.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rsidP="008A26DB">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By the same token, the intervening criminal actions of another would not supersede the original negligence so long as they were foreseeable; for the crux of the matter is the foreseeability of those acts, not the level of intent with which they were conducted.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For all the reasons stated above, I cannot join in the majority’s view that there is no duty upon retail gun store owners to exercise reasonable care in securing handguns held out for sale to the public. I believe that the policy concerns cry out loudly in favor of recognizing a duty to the foreseeable plaintiff on the part of retail handgun sellers to exercise reasonable care in conducting their business so as to avoid the theft and subsequent criminal misuse of handguns.</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Chief Judge BELL and Judge ELDRIDGE have authorized me to state that they join in the views expressed herein.</w:t>
      </w:r>
    </w:p>
    <w:p w:rsidR="00833174" w:rsidRDefault="00F3247D">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833174" w:rsidRDefault="00833174">
      <w:pPr>
        <w:widowControl w:val="0"/>
        <w:autoSpaceDE w:val="0"/>
        <w:autoSpaceDN w:val="0"/>
        <w:adjustRightInd w:val="0"/>
        <w:spacing w:after="0" w:line="240" w:lineRule="auto"/>
        <w:rPr>
          <w:rFonts w:ascii="sans-serif" w:hAnsi="sans-serif" w:cs="sans-serif"/>
          <w:color w:val="000000"/>
          <w:sz w:val="24"/>
          <w:szCs w:val="24"/>
        </w:rPr>
      </w:pPr>
      <w:bookmarkStart w:id="43" w:name="co_allCitations_1"/>
      <w:bookmarkEnd w:id="43"/>
    </w:p>
    <w:p w:rsidR="00833174" w:rsidRDefault="00833174">
      <w:pPr>
        <w:widowControl w:val="0"/>
        <w:autoSpaceDE w:val="0"/>
        <w:autoSpaceDN w:val="0"/>
        <w:adjustRightInd w:val="0"/>
        <w:spacing w:after="0" w:line="240" w:lineRule="auto"/>
        <w:rPr>
          <w:rFonts w:ascii="Arial" w:hAnsi="Arial" w:cs="Arial"/>
          <w:sz w:val="24"/>
          <w:szCs w:val="24"/>
        </w:rPr>
        <w:sectPr w:rsidR="00833174">
          <w:headerReference w:type="default" r:id="rId58"/>
          <w:footerReference w:type="default" r:id="rId59"/>
          <w:type w:val="continuous"/>
          <w:pgSz w:w="12240" w:h="15840"/>
          <w:pgMar w:top="1080" w:right="1080" w:bottom="1080" w:left="1080" w:header="720" w:footer="720" w:gutter="0"/>
          <w:cols w:num="2" w:space="720"/>
          <w:noEndnote/>
        </w:sectPr>
      </w:pPr>
    </w:p>
    <w:p w:rsidR="00833174" w:rsidRDefault="00833174">
      <w:pPr>
        <w:widowControl w:val="0"/>
        <w:autoSpaceDE w:val="0"/>
        <w:autoSpaceDN w:val="0"/>
        <w:adjustRightInd w:val="0"/>
        <w:spacing w:after="0" w:line="240" w:lineRule="auto"/>
        <w:rPr>
          <w:rFonts w:ascii="Times New Roman" w:hAnsi="Times New Roman" w:cs="Times New Roman"/>
          <w:sz w:val="24"/>
          <w:szCs w:val="24"/>
        </w:rPr>
      </w:pPr>
    </w:p>
    <w:p w:rsidR="00833174" w:rsidRDefault="00833174">
      <w:pPr>
        <w:widowControl w:val="0"/>
        <w:autoSpaceDE w:val="0"/>
        <w:autoSpaceDN w:val="0"/>
        <w:adjustRightInd w:val="0"/>
        <w:spacing w:after="0" w:line="240" w:lineRule="auto"/>
        <w:rPr>
          <w:rFonts w:ascii="Arial" w:hAnsi="Arial" w:cs="Arial"/>
          <w:sz w:val="24"/>
          <w:szCs w:val="24"/>
        </w:rPr>
        <w:sectPr w:rsidR="00833174">
          <w:type w:val="continuous"/>
          <w:pgSz w:w="12240" w:h="15840"/>
          <w:pgMar w:top="1080" w:right="1080" w:bottom="1080" w:left="1080" w:header="720" w:footer="720" w:gutter="0"/>
          <w:cols w:space="720"/>
          <w:noEndnote/>
        </w:sectPr>
      </w:pPr>
    </w:p>
    <w:p w:rsidR="00833174" w:rsidRDefault="00833174">
      <w:pPr>
        <w:widowControl w:val="0"/>
        <w:autoSpaceDE w:val="0"/>
        <w:autoSpaceDN w:val="0"/>
        <w:adjustRightInd w:val="0"/>
        <w:spacing w:after="0" w:line="240" w:lineRule="auto"/>
        <w:rPr>
          <w:rFonts w:ascii="sans-serif" w:hAnsi="sans-serif" w:cs="sans-serif"/>
          <w:color w:val="000000"/>
          <w:sz w:val="24"/>
          <w:szCs w:val="24"/>
        </w:rPr>
      </w:pPr>
    </w:p>
    <w:p w:rsidR="00833174" w:rsidRDefault="00833174">
      <w:pPr>
        <w:widowControl w:val="0"/>
        <w:autoSpaceDE w:val="0"/>
        <w:autoSpaceDN w:val="0"/>
        <w:adjustRightInd w:val="0"/>
        <w:spacing w:after="0" w:line="240" w:lineRule="auto"/>
        <w:rPr>
          <w:rFonts w:ascii="Arial" w:hAnsi="Arial" w:cs="Arial"/>
          <w:sz w:val="24"/>
          <w:szCs w:val="24"/>
        </w:rPr>
        <w:sectPr w:rsidR="00833174">
          <w:type w:val="continuous"/>
          <w:pgSz w:w="12240" w:h="15840"/>
          <w:pgMar w:top="1080" w:right="1080" w:bottom="1080" w:left="1080" w:header="720" w:footer="720" w:gutter="0"/>
          <w:cols w:num="2" w:space="720"/>
          <w:noEndnote/>
        </w:sectPr>
      </w:pPr>
    </w:p>
    <w:tbl>
      <w:tblPr>
        <w:tblW w:w="0" w:type="auto"/>
        <w:tblInd w:w="24" w:type="dxa"/>
        <w:tblLayout w:type="fixed"/>
        <w:tblCellMar>
          <w:left w:w="0" w:type="dxa"/>
          <w:right w:w="0" w:type="dxa"/>
        </w:tblCellMar>
        <w:tblLook w:val="0000"/>
      </w:tblPr>
      <w:tblGrid>
        <w:gridCol w:w="4320"/>
        <w:gridCol w:w="5760"/>
      </w:tblGrid>
      <w:tr w:rsidR="00833174">
        <w:tc>
          <w:tcPr>
            <w:tcW w:w="4320" w:type="dxa"/>
            <w:tcBorders>
              <w:top w:val="single" w:sz="4" w:space="0" w:color="777777"/>
              <w:left w:val="nil"/>
              <w:bottom w:val="nil"/>
              <w:right w:val="nil"/>
            </w:tcBorders>
            <w:tcMar>
              <w:top w:w="100" w:type="dxa"/>
              <w:left w:w="24" w:type="dxa"/>
              <w:right w:w="24" w:type="dxa"/>
            </w:tcMar>
          </w:tcPr>
          <w:p w:rsidR="00833174" w:rsidRDefault="00F3247D">
            <w:pPr>
              <w:widowControl w:val="0"/>
              <w:autoSpaceDE w:val="0"/>
              <w:autoSpaceDN w:val="0"/>
              <w:adjustRightInd w:val="0"/>
              <w:spacing w:after="0" w:line="240" w:lineRule="auto"/>
              <w:ind w:left="24" w:right="24"/>
              <w:rPr>
                <w:rFonts w:ascii="sans-serif" w:hAnsi="sans-serif" w:cs="sans-serif"/>
                <w:b/>
                <w:bCs/>
                <w:color w:val="777777"/>
                <w:sz w:val="16"/>
                <w:szCs w:val="16"/>
              </w:rPr>
            </w:pPr>
            <w:r>
              <w:rPr>
                <w:rFonts w:ascii="sans-serif" w:hAnsi="sans-serif" w:cs="sans-serif"/>
                <w:b/>
                <w:bCs/>
                <w:color w:val="777777"/>
                <w:sz w:val="16"/>
                <w:szCs w:val="16"/>
              </w:rPr>
              <w:t>End of Document</w:t>
            </w:r>
          </w:p>
          <w:p w:rsidR="00833174" w:rsidRDefault="00833174">
            <w:pPr>
              <w:widowControl w:val="0"/>
              <w:autoSpaceDE w:val="0"/>
              <w:autoSpaceDN w:val="0"/>
              <w:adjustRightInd w:val="0"/>
              <w:spacing w:after="0" w:line="240" w:lineRule="auto"/>
              <w:ind w:left="24" w:right="24"/>
              <w:rPr>
                <w:rFonts w:ascii="sans-serif" w:hAnsi="sans-serif" w:cs="sans-serif"/>
                <w:b/>
                <w:bCs/>
                <w:color w:val="777777"/>
                <w:sz w:val="16"/>
                <w:szCs w:val="16"/>
              </w:rPr>
            </w:pPr>
          </w:p>
        </w:tc>
        <w:tc>
          <w:tcPr>
            <w:tcW w:w="5760" w:type="dxa"/>
            <w:tcBorders>
              <w:top w:val="single" w:sz="4" w:space="0" w:color="777777"/>
              <w:left w:val="nil"/>
              <w:bottom w:val="nil"/>
              <w:right w:val="nil"/>
            </w:tcBorders>
            <w:tcMar>
              <w:top w:w="100" w:type="dxa"/>
              <w:left w:w="24" w:type="dxa"/>
              <w:right w:w="24" w:type="dxa"/>
            </w:tcMar>
          </w:tcPr>
          <w:p w:rsidR="00833174" w:rsidRDefault="00F3247D">
            <w:pPr>
              <w:widowControl w:val="0"/>
              <w:autoSpaceDE w:val="0"/>
              <w:autoSpaceDN w:val="0"/>
              <w:adjustRightInd w:val="0"/>
              <w:spacing w:after="0" w:line="240" w:lineRule="auto"/>
              <w:ind w:left="24" w:right="24"/>
              <w:jc w:val="right"/>
              <w:rPr>
                <w:rFonts w:ascii="sans-serif" w:hAnsi="sans-serif" w:cs="sans-serif"/>
                <w:color w:val="777777"/>
                <w:sz w:val="16"/>
                <w:szCs w:val="16"/>
              </w:rPr>
            </w:pPr>
            <w:r>
              <w:rPr>
                <w:rFonts w:ascii="sans-serif" w:hAnsi="sans-serif" w:cs="sans-serif"/>
                <w:color w:val="777777"/>
                <w:sz w:val="16"/>
                <w:szCs w:val="16"/>
              </w:rPr>
              <w:t>© 2016 Thomson Reuters. No claim to original U.S. Government Works.</w:t>
            </w:r>
          </w:p>
          <w:p w:rsidR="00833174" w:rsidRDefault="00833174">
            <w:pPr>
              <w:widowControl w:val="0"/>
              <w:autoSpaceDE w:val="0"/>
              <w:autoSpaceDN w:val="0"/>
              <w:adjustRightInd w:val="0"/>
              <w:spacing w:after="0" w:line="240" w:lineRule="auto"/>
              <w:ind w:left="24" w:right="24"/>
              <w:jc w:val="right"/>
              <w:rPr>
                <w:rFonts w:ascii="sans-serif" w:hAnsi="sans-serif" w:cs="sans-serif"/>
                <w:color w:val="777777"/>
                <w:sz w:val="16"/>
                <w:szCs w:val="16"/>
              </w:rPr>
            </w:pPr>
          </w:p>
        </w:tc>
      </w:tr>
    </w:tbl>
    <w:p w:rsidR="00833174" w:rsidRDefault="00833174">
      <w:pPr>
        <w:widowControl w:val="0"/>
        <w:autoSpaceDE w:val="0"/>
        <w:autoSpaceDN w:val="0"/>
        <w:adjustRightInd w:val="0"/>
        <w:spacing w:after="0" w:line="240" w:lineRule="auto"/>
        <w:rPr>
          <w:rFonts w:ascii="Arial" w:hAnsi="Arial" w:cs="Arial"/>
          <w:sz w:val="24"/>
          <w:szCs w:val="24"/>
        </w:rPr>
      </w:pPr>
    </w:p>
    <w:p w:rsidR="00833174" w:rsidRDefault="00833174">
      <w:pPr>
        <w:widowControl w:val="0"/>
        <w:autoSpaceDE w:val="0"/>
        <w:autoSpaceDN w:val="0"/>
        <w:adjustRightInd w:val="0"/>
        <w:spacing w:after="0" w:line="240" w:lineRule="auto"/>
        <w:rPr>
          <w:rFonts w:ascii="Times New Roman" w:hAnsi="Times New Roman" w:cs="Times New Roman"/>
          <w:sz w:val="24"/>
          <w:szCs w:val="24"/>
        </w:rPr>
      </w:pPr>
    </w:p>
    <w:p w:rsidR="00833174" w:rsidRDefault="00833174">
      <w:pPr>
        <w:widowControl w:val="0"/>
        <w:autoSpaceDE w:val="0"/>
        <w:autoSpaceDN w:val="0"/>
        <w:adjustRightInd w:val="0"/>
        <w:spacing w:after="0" w:line="240" w:lineRule="auto"/>
        <w:rPr>
          <w:rFonts w:ascii="Arial" w:hAnsi="Arial" w:cs="Arial"/>
          <w:sz w:val="24"/>
          <w:szCs w:val="24"/>
        </w:rPr>
        <w:sectPr w:rsidR="00833174">
          <w:type w:val="continuous"/>
          <w:pgSz w:w="12240" w:h="15840"/>
          <w:pgMar w:top="1080" w:right="1080" w:bottom="1080" w:left="1080" w:header="720" w:footer="720" w:gutter="0"/>
          <w:cols w:space="720"/>
          <w:noEndnote/>
        </w:sectPr>
      </w:pPr>
    </w:p>
    <w:p w:rsidR="00833174" w:rsidRDefault="00833174">
      <w:pPr>
        <w:widowControl w:val="0"/>
        <w:autoSpaceDE w:val="0"/>
        <w:autoSpaceDN w:val="0"/>
        <w:adjustRightInd w:val="0"/>
        <w:spacing w:after="0" w:line="240" w:lineRule="auto"/>
        <w:rPr>
          <w:rFonts w:ascii="Arial" w:hAnsi="Arial" w:cs="Arial"/>
          <w:sz w:val="24"/>
          <w:szCs w:val="24"/>
        </w:rPr>
      </w:pPr>
    </w:p>
    <w:sectPr w:rsidR="00833174" w:rsidSect="00E80489">
      <w:type w:val="continuous"/>
      <w:pgSz w:w="12240" w:h="15840"/>
      <w:pgMar w:top="1080" w:right="1080" w:bottom="1080" w:left="1080" w:header="720" w:footer="720" w:gutter="0"/>
      <w:cols w:num="2"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6BB" w:rsidRDefault="006146BB">
      <w:pPr>
        <w:spacing w:after="0" w:line="240" w:lineRule="auto"/>
      </w:pPr>
      <w:r>
        <w:separator/>
      </w:r>
    </w:p>
  </w:endnote>
  <w:endnote w:type="continuationSeparator" w:id="1">
    <w:p w:rsidR="006146BB" w:rsidRDefault="00614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ans-serif">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9300"/>
      <w:gridCol w:w="700"/>
    </w:tblGrid>
    <w:tr w:rsidR="00833174">
      <w:tc>
        <w:tcPr>
          <w:tcW w:w="9300" w:type="dxa"/>
          <w:tcBorders>
            <w:top w:val="single" w:sz="8" w:space="0" w:color="AAAAAA"/>
            <w:left w:val="nil"/>
            <w:bottom w:val="nil"/>
            <w:right w:val="nil"/>
          </w:tcBorders>
          <w:tcMar>
            <w:top w:w="60" w:type="dxa"/>
          </w:tcMar>
          <w:vAlign w:val="bottom"/>
        </w:tcPr>
        <w:p w:rsidR="00833174" w:rsidRDefault="00384CB1">
          <w:pPr>
            <w:widowControl w:val="0"/>
            <w:autoSpaceDE w:val="0"/>
            <w:autoSpaceDN w:val="0"/>
            <w:adjustRightInd w:val="0"/>
            <w:spacing w:after="0" w:line="240" w:lineRule="auto"/>
            <w:rPr>
              <w:rFonts w:ascii="Arial" w:hAnsi="Arial" w:cs="Arial"/>
              <w:color w:val="AAAAAA"/>
              <w:sz w:val="20"/>
              <w:szCs w:val="20"/>
            </w:rPr>
          </w:pPr>
          <w:r>
            <w:rPr>
              <w:rFonts w:ascii="Arial" w:hAnsi="Arial" w:cs="Arial"/>
              <w:noProof/>
              <w:color w:val="AAAAAA"/>
              <w:sz w:val="20"/>
              <w:szCs w:val="20"/>
            </w:rPr>
            <w:drawing>
              <wp:inline distT="0" distB="0" distL="0" distR="0">
                <wp:extent cx="747395" cy="96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7395" cy="96520"/>
                        </a:xfrm>
                        <a:prstGeom prst="rect">
                          <a:avLst/>
                        </a:prstGeom>
                        <a:noFill/>
                        <a:ln>
                          <a:noFill/>
                        </a:ln>
                      </pic:spPr>
                    </pic:pic>
                  </a:graphicData>
                </a:graphic>
              </wp:inline>
            </w:drawing>
          </w:r>
          <w:r w:rsidR="00F3247D">
            <w:rPr>
              <w:rFonts w:ascii="Arial" w:hAnsi="Arial" w:cs="Arial"/>
              <w:color w:val="AAAAAA"/>
              <w:sz w:val="20"/>
              <w:szCs w:val="20"/>
            </w:rPr>
            <w:t xml:space="preserve"> © 2016 Thomson Reuters. No claim to original U.S. Government Works.</w:t>
          </w:r>
        </w:p>
      </w:tc>
      <w:tc>
        <w:tcPr>
          <w:tcW w:w="700" w:type="dxa"/>
          <w:tcBorders>
            <w:top w:val="single" w:sz="8" w:space="0" w:color="AAAAAA"/>
            <w:left w:val="nil"/>
            <w:bottom w:val="nil"/>
            <w:right w:val="nil"/>
          </w:tcBorders>
          <w:tcMar>
            <w:top w:w="60" w:type="dxa"/>
          </w:tcMar>
        </w:tcPr>
        <w:p w:rsidR="00833174" w:rsidRDefault="00F3247D">
          <w:pPr>
            <w:widowControl w:val="0"/>
            <w:autoSpaceDE w:val="0"/>
            <w:autoSpaceDN w:val="0"/>
            <w:adjustRightInd w:val="0"/>
            <w:spacing w:after="0" w:line="240" w:lineRule="auto"/>
            <w:jc w:val="right"/>
            <w:rPr>
              <w:rFonts w:ascii="Arial" w:hAnsi="Arial" w:cs="Arial"/>
              <w:color w:val="AAAAAA"/>
              <w:sz w:val="20"/>
              <w:szCs w:val="20"/>
            </w:rPr>
          </w:pPr>
          <w:r>
            <w:rPr>
              <w:rFonts w:ascii="Arial" w:hAnsi="Arial" w:cs="Arial"/>
              <w:color w:val="AAAAAA"/>
              <w:sz w:val="20"/>
              <w:szCs w:val="20"/>
            </w:rPr>
            <w:pgNum/>
          </w:r>
        </w:p>
      </w:tc>
    </w:tr>
  </w:tbl>
  <w:p w:rsidR="00833174" w:rsidRDefault="00833174">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6BB" w:rsidRDefault="006146BB">
      <w:pPr>
        <w:spacing w:after="0" w:line="240" w:lineRule="auto"/>
      </w:pPr>
      <w:r>
        <w:separator/>
      </w:r>
    </w:p>
  </w:footnote>
  <w:footnote w:type="continuationSeparator" w:id="1">
    <w:p w:rsidR="006146BB" w:rsidRDefault="00614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6DB" w:rsidRDefault="008A26DB" w:rsidP="008A26DB">
    <w:pPr>
      <w:pStyle w:val="Header"/>
      <w:jc w:val="right"/>
    </w:pPr>
    <w:r>
      <w:t>Edited for length. ALH</w:t>
    </w:r>
  </w:p>
  <w:p w:rsidR="00833174" w:rsidRDefault="00833174">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8C70CE"/>
    <w:multiLevelType w:val="hybridMultilevel"/>
    <w:tmpl w:val="C76E5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4CB1"/>
    <w:rsid w:val="00384CB1"/>
    <w:rsid w:val="006146BB"/>
    <w:rsid w:val="00695EFD"/>
    <w:rsid w:val="00833174"/>
    <w:rsid w:val="008A26DB"/>
    <w:rsid w:val="009538D0"/>
    <w:rsid w:val="00B66D8F"/>
    <w:rsid w:val="00BE5BD9"/>
    <w:rsid w:val="00E80489"/>
    <w:rsid w:val="00F324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4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4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CB1"/>
    <w:rPr>
      <w:rFonts w:ascii="Tahoma" w:hAnsi="Tahoma" w:cs="Tahoma"/>
      <w:sz w:val="16"/>
      <w:szCs w:val="16"/>
    </w:rPr>
  </w:style>
  <w:style w:type="paragraph" w:styleId="ListParagraph">
    <w:name w:val="List Paragraph"/>
    <w:basedOn w:val="Normal"/>
    <w:uiPriority w:val="34"/>
    <w:qFormat/>
    <w:rsid w:val="008A26DB"/>
    <w:pPr>
      <w:ind w:left="720"/>
      <w:contextualSpacing/>
    </w:pPr>
  </w:style>
  <w:style w:type="paragraph" w:styleId="Header">
    <w:name w:val="header"/>
    <w:basedOn w:val="Normal"/>
    <w:link w:val="HeaderChar"/>
    <w:uiPriority w:val="99"/>
    <w:unhideWhenUsed/>
    <w:rsid w:val="008A2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6DB"/>
  </w:style>
  <w:style w:type="paragraph" w:styleId="Footer">
    <w:name w:val="footer"/>
    <w:basedOn w:val="Normal"/>
    <w:link w:val="FooterChar"/>
    <w:uiPriority w:val="99"/>
    <w:unhideWhenUsed/>
    <w:rsid w:val="008A2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6D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estlaw.com/Link/Document/FullText?findType=Y&amp;serNum=1996245634&amp;pubNum=162&amp;originatingDoc=Ib117b67b372111d9abe5ec754599669c&amp;refType=RP&amp;fi=co_pp_sp_162_637&amp;originationContext=document&amp;vr=3.0&amp;rs=cblt1.0&amp;transitionType=DocumentItem&amp;contextData=(sc.UserEnteredCitation)" TargetMode="External"/><Relationship Id="rId18" Type="http://schemas.openxmlformats.org/officeDocument/2006/relationships/hyperlink" Target="http://www.westlaw.com/Link/Document/FullText?findType=Y&amp;serNum=1986136209&amp;pubNum=162&amp;originatingDoc=Ib117b67b372111d9abe5ec754599669c&amp;refType=RP&amp;fi=co_pp_sp_162_1083&amp;originationContext=document&amp;vr=3.0&amp;rs=cblt1.0&amp;transitionType=DocumentItem&amp;contextData=(sc.UserEnteredCitation)" TargetMode="External"/><Relationship Id="rId26" Type="http://schemas.openxmlformats.org/officeDocument/2006/relationships/hyperlink" Target="http://www.westlaw.com/Link/Document/FullText?findType=Y&amp;serNum=1985128886&amp;pubNum=162&amp;originatingDoc=Ib117b67b372111d9abe5ec754599669c&amp;refType=RP&amp;originationContext=document&amp;vr=3.0&amp;rs=cblt1.0&amp;transitionType=DocumentItem&amp;contextData=(sc.UserEnteredCitation)" TargetMode="External"/><Relationship Id="rId39" Type="http://schemas.openxmlformats.org/officeDocument/2006/relationships/hyperlink" Target="http://www.westlaw.com/Link/Document/FullText?findType=h&amp;pubNum=176284&amp;cite=0199259401&amp;originatingDoc=Ib117b67b372111d9abe5ec754599669c&amp;refType=RQ&amp;originationContext=document&amp;vr=3.0&amp;rs=cblt1.0&amp;transitionType=DocumentItem&amp;contextData=(sc.UserEnteredCitation)" TargetMode="External"/><Relationship Id="rId21" Type="http://schemas.openxmlformats.org/officeDocument/2006/relationships/hyperlink" Target="http://www.westlaw.com/Link/Document/FullText?findType=Y&amp;serNum=1976101650&amp;pubNum=162&amp;originatingDoc=Ib117b67b372111d9abe5ec754599669c&amp;refType=RP&amp;originationContext=document&amp;vr=3.0&amp;rs=cblt1.0&amp;transitionType=DocumentItem&amp;contextData=(sc.UserEnteredCitation)" TargetMode="External"/><Relationship Id="rId34" Type="http://schemas.openxmlformats.org/officeDocument/2006/relationships/hyperlink" Target="http://www.westlaw.com/Link/Document/FullText?findType=Y&amp;serNum=1996144750&amp;pubNum=661&amp;originatingDoc=Ib117b67b372111d9abe5ec754599669c&amp;refType=RP&amp;originationContext=document&amp;vr=3.0&amp;rs=cblt1.0&amp;transitionType=DocumentItem&amp;contextData=(sc.UserEnteredCitation)" TargetMode="External"/><Relationship Id="rId42" Type="http://schemas.openxmlformats.org/officeDocument/2006/relationships/hyperlink" Target="http://www.westlaw.com/Link/Document/FullText?findType=Y&amp;serNum=1997069529&amp;pubNum=162&amp;originatingDoc=Ib117b67b372111d9abe5ec754599669c&amp;refType=RP&amp;fi=co_pp_sp_162_1003&amp;originationContext=document&amp;vr=3.0&amp;rs=cblt1.0&amp;transitionType=DocumentItem&amp;contextData=(sc.UserEnteredCitation)" TargetMode="External"/><Relationship Id="rId47" Type="http://schemas.openxmlformats.org/officeDocument/2006/relationships/hyperlink" Target="http://www.westlaw.com/Link/Document/FullText?findType=Y&amp;serNum=1996245634&amp;pubNum=162&amp;originatingDoc=Ib117b67b372111d9abe5ec754599669c&amp;refType=RP&amp;fi=co_pp_sp_162_641&amp;originationContext=document&amp;vr=3.0&amp;rs=cblt1.0&amp;transitionType=DocumentItem&amp;contextData=(sc.UserEnteredCitation)" TargetMode="External"/><Relationship Id="rId50" Type="http://schemas.openxmlformats.org/officeDocument/2006/relationships/hyperlink" Target="http://www.westlaw.com/Link/Document/FullText?findType=Y&amp;serNum=1996144750&amp;pubNum=661&amp;originatingDoc=Ib117b67b372111d9abe5ec754599669c&amp;refType=RP&amp;fi=co_pp_sp_661_670&amp;originationContext=document&amp;vr=3.0&amp;rs=cblt1.0&amp;transitionType=DocumentItem&amp;contextData=(sc.UserEnteredCitation)" TargetMode="External"/><Relationship Id="rId55" Type="http://schemas.openxmlformats.org/officeDocument/2006/relationships/hyperlink" Target="http://www.westlaw.com/Link/Document/FullText?findType=Y&amp;serNum=1998211380&amp;pubNum=162&amp;originatingDoc=Ib117b67b372111d9abe5ec754599669c&amp;refType=RP&amp;fi=co_pp_sp_162_135&amp;originationContext=document&amp;vr=3.0&amp;rs=cblt1.0&amp;transitionType=DocumentItem&amp;contextData=(sc.UserEnteredCitation)" TargetMode="External"/><Relationship Id="rId7" Type="http://schemas.openxmlformats.org/officeDocument/2006/relationships/hyperlink" Target="http://www.westlaw.com/Link/Document/FullText?findType=h&amp;pubNum=176284&amp;cite=0249264101&amp;originatingDoc=Ib117b67b372111d9abe5ec754599669c&amp;refType=RQ&amp;originationContext=document&amp;vr=3.0&amp;rs=cblt1.0&amp;transitionType=DocumentItem&amp;contextData=(sc.UserEnteredCitation)" TargetMode="External"/><Relationship Id="rId2" Type="http://schemas.openxmlformats.org/officeDocument/2006/relationships/styles" Target="styles.xml"/><Relationship Id="rId16" Type="http://schemas.openxmlformats.org/officeDocument/2006/relationships/hyperlink" Target="http://www.westlaw.com/Link/Document/FullText?findType=Y&amp;serNum=1985128886&amp;pubNum=162&amp;originatingDoc=Ib117b67b372111d9abe5ec754599669c&amp;refType=RP&amp;originationContext=document&amp;vr=3.0&amp;rs=cblt1.0&amp;transitionType=DocumentItem&amp;contextData=(sc.UserEnteredCitation)" TargetMode="External"/><Relationship Id="rId20" Type="http://schemas.openxmlformats.org/officeDocument/2006/relationships/hyperlink" Target="http://www.westlaw.com/Link/Document/FullText?findType=Y&amp;serNum=1994122702&amp;pubNum=162&amp;originatingDoc=Ib117b67b372111d9abe5ec754599669c&amp;refType=RP&amp;fi=co_pp_sp_162_189&amp;originationContext=document&amp;vr=3.0&amp;rs=cblt1.0&amp;transitionType=DocumentItem&amp;contextData=(sc.UserEnteredCitation)" TargetMode="External"/><Relationship Id="rId29" Type="http://schemas.openxmlformats.org/officeDocument/2006/relationships/hyperlink" Target="http://www.westlaw.com/Link/Document/FullText?findType=Y&amp;serNum=1983101828&amp;pubNum=162&amp;originatingDoc=Ib117b67b372111d9abe5ec754599669c&amp;refType=RP&amp;originationContext=document&amp;vr=3.0&amp;rs=cblt1.0&amp;transitionType=DocumentItem&amp;contextData=(sc.UserEnteredCitation)" TargetMode="External"/><Relationship Id="rId41" Type="http://schemas.openxmlformats.org/officeDocument/2006/relationships/hyperlink" Target="http://www.westlaw.com/Link/Document/FullText?findType=L&amp;pubNum=1006359&amp;cite=MDRCPCIRR2-303&amp;originatingDoc=Ib117b67b372111d9abe5ec754599669c&amp;refType=LQ&amp;originationContext=document&amp;vr=3.0&amp;rs=cblt1.0&amp;transitionType=DocumentItem&amp;contextData=(sc.UserEnteredCitation)" TargetMode="External"/><Relationship Id="rId54" Type="http://schemas.openxmlformats.org/officeDocument/2006/relationships/hyperlink" Target="http://www.westlaw.com/Link/Document/FullText?findType=L&amp;pubNum=1000024&amp;cite=MDFAS4-506&amp;originatingDoc=Ib117b67b372111d9abe5ec754599669c&amp;refType=LQ&amp;originationContext=document&amp;vr=3.0&amp;rs=cblt1.0&amp;transitionType=DocumentItem&amp;contextData=(sc.UserEnteredCit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stlaw.com/Link/Document/FullText?findType=Y&amp;serNum=1987002326&amp;pubNum=162&amp;originatingDoc=Ib117b67b372111d9abe5ec754599669c&amp;refType=RP&amp;fi=co_pp_sp_162_728&amp;originationContext=document&amp;vr=3.0&amp;rs=cblt1.0&amp;transitionType=DocumentItem&amp;contextData=(sc.UserEnteredCitation)" TargetMode="External"/><Relationship Id="rId24" Type="http://schemas.openxmlformats.org/officeDocument/2006/relationships/hyperlink" Target="http://www.westlaw.com/Link/Document/FullText?findType=Y&amp;serNum=0290694056&amp;pubNum=0101577&amp;originatingDoc=Ib117b67b372111d9abe5ec754599669c&amp;refType=TS&amp;originationContext=document&amp;vr=3.0&amp;rs=cblt1.0&amp;transitionType=DocumentItem&amp;contextData=(sc.UserEnteredCitation)" TargetMode="External"/><Relationship Id="rId32" Type="http://schemas.openxmlformats.org/officeDocument/2006/relationships/hyperlink" Target="http://www.westlaw.com/Link/Document/FullText?findType=Y&amp;serNum=1994150309&amp;pubNum=578&amp;originatingDoc=Ib117b67b372111d9abe5ec754599669c&amp;refType=RP&amp;originationContext=document&amp;vr=3.0&amp;rs=cblt1.0&amp;transitionType=DocumentItem&amp;contextData=(sc.UserEnteredCitation)" TargetMode="External"/><Relationship Id="rId37" Type="http://schemas.openxmlformats.org/officeDocument/2006/relationships/hyperlink" Target="http://www.westlaw.com/Link/Document/FullText?findType=h&amp;pubNum=176284&amp;cite=0190096001&amp;originatingDoc=Ib117b67b372111d9abe5ec754599669c&amp;refType=RQ&amp;originationContext=document&amp;vr=3.0&amp;rs=cblt1.0&amp;transitionType=DocumentItem&amp;contextData=(sc.UserEnteredCitation)" TargetMode="External"/><Relationship Id="rId40" Type="http://schemas.openxmlformats.org/officeDocument/2006/relationships/hyperlink" Target="http://www.westlaw.com/Link/Document/FullText?findType=h&amp;pubNum=176284&amp;cite=0190096001&amp;originatingDoc=Ib117b67b372111d9abe5ec754599669c&amp;refType=RQ&amp;originationContext=document&amp;vr=3.0&amp;rs=cblt1.0&amp;transitionType=DocumentItem&amp;contextData=(sc.UserEnteredCitation)" TargetMode="External"/><Relationship Id="rId45" Type="http://schemas.openxmlformats.org/officeDocument/2006/relationships/hyperlink" Target="http://www.westlaw.com/Link/Document/FullText?findType=Y&amp;serNum=1996245634&amp;pubNum=162&amp;originatingDoc=Ib117b67b372111d9abe5ec754599669c&amp;refType=RP&amp;fi=co_pp_sp_162_641&amp;originationContext=document&amp;vr=3.0&amp;rs=cblt1.0&amp;transitionType=DocumentItem&amp;contextData=(sc.UserEnteredCitation)" TargetMode="External"/><Relationship Id="rId53" Type="http://schemas.openxmlformats.org/officeDocument/2006/relationships/hyperlink" Target="http://www.westlaw.com/Link/Document/FullText?findType=Y&amp;serNum=1993045413&amp;pubNum=162&amp;originatingDoc=Ib117b67b372111d9abe5ec754599669c&amp;refType=RP&amp;fi=co_pp_sp_162_534&amp;originationContext=document&amp;vr=3.0&amp;rs=cblt1.0&amp;transitionType=DocumentItem&amp;contextData=(sc.UserEnteredCitation)"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westlaw.com/Link/Document/FullText?findType=Y&amp;serNum=1994122702&amp;pubNum=162&amp;originatingDoc=Ib117b67b372111d9abe5ec754599669c&amp;refType=RP&amp;fi=co_pp_sp_162_188&amp;originationContext=document&amp;vr=3.0&amp;rs=cblt1.0&amp;transitionType=DocumentItem&amp;contextData=(sc.UserEnteredCitation)" TargetMode="External"/><Relationship Id="rId23" Type="http://schemas.openxmlformats.org/officeDocument/2006/relationships/hyperlink" Target="http://www.westlaw.com/Link/Document/FullText?findType=Y&amp;serNum=1976101650&amp;pubNum=162&amp;originatingDoc=Ib117b67b372111d9abe5ec754599669c&amp;refType=RP&amp;originationContext=document&amp;vr=3.0&amp;rs=cblt1.0&amp;transitionType=DocumentItem&amp;contextData=(sc.UserEnteredCitation)" TargetMode="External"/><Relationship Id="rId28" Type="http://schemas.openxmlformats.org/officeDocument/2006/relationships/hyperlink" Target="http://www.westlaw.com/Link/Document/FullText?findType=Y&amp;serNum=1986136209&amp;pubNum=162&amp;originatingDoc=Ib117b67b372111d9abe5ec754599669c&amp;refType=RP&amp;originationContext=document&amp;vr=3.0&amp;rs=cblt1.0&amp;transitionType=DocumentItem&amp;contextData=(sc.UserEnteredCitation)" TargetMode="External"/><Relationship Id="rId36" Type="http://schemas.openxmlformats.org/officeDocument/2006/relationships/hyperlink" Target="http://www.westlaw.com/Link/Document/FullText?findType=Y&amp;serNum=1996144750&amp;pubNum=661&amp;originatingDoc=Ib117b67b372111d9abe5ec754599669c&amp;refType=RP&amp;fi=co_pp_sp_661_670&amp;originationContext=document&amp;vr=3.0&amp;rs=cblt1.0&amp;transitionType=DocumentItem&amp;contextData=(sc.UserEnteredCitation)" TargetMode="External"/><Relationship Id="rId49" Type="http://schemas.openxmlformats.org/officeDocument/2006/relationships/hyperlink" Target="http://www.westlaw.com/Link/Document/FullText?findType=Y&amp;serNum=1976114624&amp;pubNum=661&amp;originatingDoc=Ib117b67b372111d9abe5ec754599669c&amp;refType=RP&amp;fi=co_pp_sp_661_342&amp;originationContext=document&amp;vr=3.0&amp;rs=cblt1.0&amp;transitionType=DocumentItem&amp;contextData=(sc.UserEnteredCitation)" TargetMode="External"/><Relationship Id="rId57" Type="http://schemas.openxmlformats.org/officeDocument/2006/relationships/hyperlink" Target="http://www.westlaw.com/Link/Document/FullText?findType=Y&amp;serNum=1908017252&amp;pubNum=161&amp;originatingDoc=Ib117b67b372111d9abe5ec754599669c&amp;refType=RP&amp;fi=co_pp_sp_161_414&amp;originationContext=document&amp;vr=3.0&amp;rs=cblt1.0&amp;transitionType=DocumentItem&amp;contextData=(sc.UserEnteredCitation)" TargetMode="External"/><Relationship Id="rId61" Type="http://schemas.openxmlformats.org/officeDocument/2006/relationships/theme" Target="theme/theme1.xml"/><Relationship Id="rId10" Type="http://schemas.openxmlformats.org/officeDocument/2006/relationships/hyperlink" Target="http://www.westlaw.com/Link/Document/FullText?findType=Y&amp;serNum=1993063476&amp;pubNum=162&amp;originatingDoc=Ib117b67b372111d9abe5ec754599669c&amp;refType=RP&amp;fi=co_pp_sp_162_331&amp;originationContext=document&amp;vr=3.0&amp;rs=cblt1.0&amp;transitionType=DocumentItem&amp;contextData=(sc.UserEnteredCitation)" TargetMode="External"/><Relationship Id="rId19" Type="http://schemas.openxmlformats.org/officeDocument/2006/relationships/hyperlink" Target="http://www.westlaw.com/Link/Document/FullText?findType=Y&amp;serNum=1996245634&amp;pubNum=162&amp;originatingDoc=Ib117b67b372111d9abe5ec754599669c&amp;refType=RP&amp;fi=co_pp_sp_162_638&amp;originationContext=document&amp;vr=3.0&amp;rs=cblt1.0&amp;transitionType=DocumentItem&amp;contextData=(sc.UserEnteredCitation)" TargetMode="External"/><Relationship Id="rId31" Type="http://schemas.openxmlformats.org/officeDocument/2006/relationships/hyperlink" Target="http://www.westlaw.com/Link/Document/FullText?findType=Y&amp;serNum=1996245634&amp;pubNum=162&amp;originatingDoc=Ib117b67b372111d9abe5ec754599669c&amp;refType=RP&amp;fi=co_pp_sp_162_639&amp;originationContext=document&amp;vr=3.0&amp;rs=cblt1.0&amp;transitionType=DocumentItem&amp;contextData=(sc.UserEnteredCitation)" TargetMode="External"/><Relationship Id="rId44" Type="http://schemas.openxmlformats.org/officeDocument/2006/relationships/hyperlink" Target="http://www.westlaw.com/Link/Document/FullText?findType=Y&amp;serNum=1996245634&amp;pubNum=162&amp;originatingDoc=Ib117b67b372111d9abe5ec754599669c&amp;refType=RP&amp;fi=co_pp_sp_162_641&amp;originationContext=document&amp;vr=3.0&amp;rs=cblt1.0&amp;transitionType=DocumentItem&amp;contextData=(sc.UserEnteredCitation)" TargetMode="External"/><Relationship Id="rId52" Type="http://schemas.openxmlformats.org/officeDocument/2006/relationships/hyperlink" Target="http://www.westlaw.com/Link/Document/FullText?findType=Y&amp;serNum=1976101250&amp;pubNum=162&amp;originatingDoc=Ib117b67b372111d9abe5ec754599669c&amp;refType=RP&amp;fi=co_pp_sp_162_368&amp;originationContext=document&amp;vr=3.0&amp;rs=cblt1.0&amp;transitionType=DocumentItem&amp;contextData=(sc.UserEnteredCitation)"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stlaw.com/Link/Document/FullText?findType=Y&amp;serNum=1996245634&amp;pubNum=162&amp;originatingDoc=Ib117b67b372111d9abe5ec754599669c&amp;refType=RP&amp;originationContext=document&amp;vr=3.0&amp;rs=cblt1.0&amp;transitionType=DocumentItem&amp;contextData=(sc.UserEnteredCitation)" TargetMode="External"/><Relationship Id="rId14" Type="http://schemas.openxmlformats.org/officeDocument/2006/relationships/hyperlink" Target="http://www.westlaw.com/Link/Document/FullText?findType=Y&amp;serNum=1995074037&amp;pubNum=162&amp;originatingDoc=Ib117b67b372111d9abe5ec754599669c&amp;refType=RP&amp;fi=co_pp_sp_162_311&amp;originationContext=document&amp;vr=3.0&amp;rs=cblt1.0&amp;transitionType=DocumentItem&amp;contextData=(sc.UserEnteredCitation)" TargetMode="External"/><Relationship Id="rId22" Type="http://schemas.openxmlformats.org/officeDocument/2006/relationships/hyperlink" Target="http://www.westlaw.com/Link/Document/FullText?findType=L&amp;pubNum=1000018&amp;cite=MDCDS12&amp;originatingDoc=Ib117b67b372111d9abe5ec754599669c&amp;refType=LQ&amp;originationContext=document&amp;vr=3.0&amp;rs=cblt1.0&amp;transitionType=DocumentItem&amp;contextData=(sc.UserEnteredCitation)" TargetMode="External"/><Relationship Id="rId27" Type="http://schemas.openxmlformats.org/officeDocument/2006/relationships/hyperlink" Target="http://www.westlaw.com/Link/Document/FullText?findType=Y&amp;serNum=1993212345&amp;pubNum=162&amp;originatingDoc=Ib117b67b372111d9abe5ec754599669c&amp;refType=RP&amp;originationContext=document&amp;vr=3.0&amp;rs=cblt1.0&amp;transitionType=DocumentItem&amp;contextData=(sc.UserEnteredCitation)" TargetMode="External"/><Relationship Id="rId30" Type="http://schemas.openxmlformats.org/officeDocument/2006/relationships/hyperlink" Target="http://www.westlaw.com/Link/Document/FullText?findType=Y&amp;serNum=1994125090&amp;pubNum=162&amp;originatingDoc=Ib117b67b372111d9abe5ec754599669c&amp;refType=RP&amp;originationContext=document&amp;vr=3.0&amp;rs=cblt1.0&amp;transitionType=DocumentItem&amp;contextData=(sc.UserEnteredCitation)" TargetMode="External"/><Relationship Id="rId35" Type="http://schemas.openxmlformats.org/officeDocument/2006/relationships/hyperlink" Target="http://www.westlaw.com/Link/Document/FullText?findType=Y&amp;serNum=1996144750&amp;pubNum=661&amp;originatingDoc=Ib117b67b372111d9abe5ec754599669c&amp;refType=RP&amp;fi=co_pp_sp_661_669&amp;originationContext=document&amp;vr=3.0&amp;rs=cblt1.0&amp;transitionType=DocumentItem&amp;contextData=(sc.UserEnteredCitation)" TargetMode="External"/><Relationship Id="rId43" Type="http://schemas.openxmlformats.org/officeDocument/2006/relationships/hyperlink" Target="http://www.westlaw.com/Link/Document/FullText?findType=Y&amp;serNum=1996245634&amp;pubNum=162&amp;originatingDoc=Ib117b67b372111d9abe5ec754599669c&amp;refType=RP&amp;fi=co_pp_sp_162_637&amp;originationContext=document&amp;vr=3.0&amp;rs=cblt1.0&amp;transitionType=DocumentItem&amp;contextData=(sc.UserEnteredCitation)" TargetMode="External"/><Relationship Id="rId48" Type="http://schemas.openxmlformats.org/officeDocument/2006/relationships/hyperlink" Target="http://www.westlaw.com/Link/Document/FullText?findType=Y&amp;serNum=1989066010&amp;pubNum=162&amp;originatingDoc=Ib117b67b372111d9abe5ec754599669c&amp;refType=RP&amp;fi=co_pp_sp_162_1131&amp;originationContext=document&amp;vr=3.0&amp;rs=cblt1.0&amp;transitionType=DocumentItem&amp;contextData=(sc.UserEnteredCitation)" TargetMode="External"/><Relationship Id="rId56" Type="http://schemas.openxmlformats.org/officeDocument/2006/relationships/hyperlink" Target="http://www.westlaw.com/Link/Document/FullText?findType=Y&amp;serNum=1995074037&amp;pubNum=162&amp;originatingDoc=Ib117b67b372111d9abe5ec754599669c&amp;refType=RP&amp;fi=co_pp_sp_162_316&amp;originationContext=document&amp;vr=3.0&amp;rs=cblt1.0&amp;transitionType=DocumentItem&amp;contextData=(sc.UserEnteredCitation)" TargetMode="External"/><Relationship Id="rId8" Type="http://schemas.openxmlformats.org/officeDocument/2006/relationships/hyperlink" Target="http://www.westlaw.com/Link/Document/FullText?findType=L&amp;pubNum=1006359&amp;cite=MDRCPCIRR2-322&amp;originatingDoc=Ib117b67b372111d9abe5ec754599669c&amp;refType=LQ&amp;originationContext=document&amp;vr=3.0&amp;rs=cblt1.0&amp;transitionType=DocumentItem&amp;contextData=(sc.UserEnteredCitation)" TargetMode="External"/><Relationship Id="rId51" Type="http://schemas.openxmlformats.org/officeDocument/2006/relationships/hyperlink" Target="http://www.westlaw.com/Link/Document/FullText?findType=L&amp;pubNum=1000546&amp;cite=18USCAS922&amp;originatingDoc=Ib117b67b372111d9abe5ec754599669c&amp;refType=RB&amp;originationContext=document&amp;vr=3.0&amp;rs=cblt1.0&amp;transitionType=DocumentItem&amp;contextData=(sc.UserEnteredCitation)" TargetMode="External"/><Relationship Id="rId3" Type="http://schemas.openxmlformats.org/officeDocument/2006/relationships/settings" Target="settings.xml"/><Relationship Id="rId12" Type="http://schemas.openxmlformats.org/officeDocument/2006/relationships/hyperlink" Target="http://www.westlaw.com/Link/Document/FullText?findType=Y&amp;serNum=1993063476&amp;pubNum=162&amp;originatingDoc=Ib117b67b372111d9abe5ec754599669c&amp;refType=RP&amp;originationContext=document&amp;vr=3.0&amp;rs=cblt1.0&amp;transitionType=DocumentItem&amp;contextData=(sc.UserEnteredCitation)" TargetMode="External"/><Relationship Id="rId17" Type="http://schemas.openxmlformats.org/officeDocument/2006/relationships/hyperlink" Target="http://www.westlaw.com/Link/Document/FullText?findType=Y&amp;serNum=1994122702&amp;pubNum=162&amp;originatingDoc=Ib117b67b372111d9abe5ec754599669c&amp;refType=RP&amp;fi=co_pp_sp_162_188&amp;originationContext=document&amp;vr=3.0&amp;rs=cblt1.0&amp;transitionType=DocumentItem&amp;contextData=(sc.UserEnteredCitation)" TargetMode="External"/><Relationship Id="rId25" Type="http://schemas.openxmlformats.org/officeDocument/2006/relationships/hyperlink" Target="http://www.westlaw.com/Link/Document/FullText?findType=Y&amp;serNum=1976101650&amp;pubNum=162&amp;originatingDoc=Ib117b67b372111d9abe5ec754599669c&amp;refType=RP&amp;originationContext=document&amp;vr=3.0&amp;rs=cblt1.0&amp;transitionType=DocumentItem&amp;contextData=(sc.UserEnteredCitation)" TargetMode="External"/><Relationship Id="rId33" Type="http://schemas.openxmlformats.org/officeDocument/2006/relationships/hyperlink" Target="http://www.westlaw.com/Link/Document/FullText?findType=Y&amp;serNum=1994056483&amp;pubNum=713&amp;originatingDoc=Ib117b67b372111d9abe5ec754599669c&amp;refType=RP&amp;originationContext=document&amp;vr=3.0&amp;rs=cblt1.0&amp;transitionType=DocumentItem&amp;contextData=(sc.UserEnteredCitation)" TargetMode="External"/><Relationship Id="rId38" Type="http://schemas.openxmlformats.org/officeDocument/2006/relationships/hyperlink" Target="http://www.westlaw.com/Link/Document/FullText?findType=h&amp;pubNum=176284&amp;cite=0154320301&amp;originatingDoc=Ib117b67b372111d9abe5ec754599669c&amp;refType=RQ&amp;originationContext=document&amp;vr=3.0&amp;rs=cblt1.0&amp;transitionType=DocumentItem&amp;contextData=(sc.UserEnteredCitation)" TargetMode="External"/><Relationship Id="rId46" Type="http://schemas.openxmlformats.org/officeDocument/2006/relationships/hyperlink" Target="http://www.westlaw.com/Link/Document/FullText?findType=Y&amp;serNum=1996245634&amp;pubNum=162&amp;originatingDoc=Ib117b67b372111d9abe5ec754599669c&amp;refType=RP&amp;fi=co_pp_sp_162_641&amp;originationContext=document&amp;vr=3.0&amp;rs=cblt1.0&amp;transitionType=DocumentItem&amp;contextData=(sc.UserEnteredCitation)" TargetMode="External"/><Relationship Id="rId5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6844</Words>
  <Characters>39017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SVSU</Company>
  <LinksUpToDate>false</LinksUpToDate>
  <CharactersWithSpaces>45770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Kyeni</cp:lastModifiedBy>
  <cp:revision>2</cp:revision>
  <cp:lastPrinted>2016-09-08T13:22:00Z</cp:lastPrinted>
  <dcterms:created xsi:type="dcterms:W3CDTF">2018-01-28T16:39:00Z</dcterms:created>
  <dcterms:modified xsi:type="dcterms:W3CDTF">2018-01-28T16:39:00Z</dcterms:modified>
</cp:coreProperties>
</file>